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A305">
      <w:pPr>
        <w:spacing w:line="500" w:lineRule="exact"/>
        <w:jc w:val="center"/>
        <w:outlineLvl w:val="0"/>
        <w:rPr>
          <w:rFonts w:ascii="Times New Roman" w:hAnsi="Times New Roman" w:eastAsia="宋体" w:cs="Times New Roman"/>
          <w:b/>
          <w:color w:val="auto"/>
          <w:kern w:val="0"/>
          <w:sz w:val="44"/>
          <w:szCs w:val="44"/>
          <w:highlight w:val="none"/>
        </w:rPr>
      </w:pPr>
      <w:r>
        <w:rPr>
          <w:rFonts w:ascii="Times New Roman" w:hAnsi="Times New Roman" w:eastAsia="宋体" w:cs="Times New Roman"/>
          <w:b/>
          <w:color w:val="auto"/>
          <w:kern w:val="0"/>
          <w:sz w:val="44"/>
          <w:szCs w:val="44"/>
          <w:highlight w:val="none"/>
        </w:rPr>
        <w:t>采购需求</w:t>
      </w:r>
    </w:p>
    <w:p w14:paraId="03BE34AB">
      <w:pPr>
        <w:spacing w:line="0" w:lineRule="atLeas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一</w:t>
      </w:r>
      <w:r>
        <w:rPr>
          <w:rFonts w:ascii="宋体" w:hAnsi="宋体" w:eastAsia="宋体" w:cs="Times New Roman"/>
          <w:b/>
          <w:color w:val="auto"/>
          <w:kern w:val="0"/>
          <w:sz w:val="24"/>
          <w:szCs w:val="24"/>
          <w:highlight w:val="none"/>
        </w:rPr>
        <w:t>、</w:t>
      </w:r>
      <w:r>
        <w:rPr>
          <w:rFonts w:hint="eastAsia" w:ascii="宋体" w:hAnsi="宋体" w:eastAsia="宋体" w:cs="Times New Roman"/>
          <w:b/>
          <w:color w:val="auto"/>
          <w:kern w:val="0"/>
          <w:sz w:val="24"/>
          <w:szCs w:val="24"/>
          <w:highlight w:val="none"/>
        </w:rPr>
        <w:t>采购</w:t>
      </w:r>
      <w:r>
        <w:rPr>
          <w:rFonts w:ascii="宋体" w:hAnsi="宋体" w:eastAsia="宋体" w:cs="Times New Roman"/>
          <w:b/>
          <w:color w:val="auto"/>
          <w:kern w:val="0"/>
          <w:sz w:val="24"/>
          <w:szCs w:val="24"/>
          <w:highlight w:val="none"/>
        </w:rPr>
        <w:t>标的清单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901"/>
        <w:gridCol w:w="3972"/>
        <w:gridCol w:w="2955"/>
      </w:tblGrid>
      <w:tr w14:paraId="1702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069" w:type="dxa"/>
          </w:tcPr>
          <w:p w14:paraId="1813994D">
            <w:pPr>
              <w:spacing w:line="0" w:lineRule="atLeast"/>
              <w:jc w:val="center"/>
              <w:rPr>
                <w:rFonts w:hint="eastAsia" w:ascii="宋体" w:hAnsi="宋体" w:eastAsia="宋体" w:cs="Times New Roman"/>
                <w:color w:val="auto"/>
                <w:kern w:val="0"/>
                <w:sz w:val="24"/>
                <w:szCs w:val="24"/>
                <w:highlight w:val="none"/>
              </w:rPr>
            </w:pPr>
          </w:p>
          <w:p w14:paraId="32F73FB1">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采购包</w:t>
            </w:r>
          </w:p>
        </w:tc>
        <w:tc>
          <w:tcPr>
            <w:tcW w:w="901" w:type="dxa"/>
            <w:vAlign w:val="center"/>
          </w:tcPr>
          <w:p w14:paraId="52532C49">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序号</w:t>
            </w:r>
          </w:p>
        </w:tc>
        <w:tc>
          <w:tcPr>
            <w:tcW w:w="3972" w:type="dxa"/>
            <w:vAlign w:val="center"/>
          </w:tcPr>
          <w:p w14:paraId="5BD6D531">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采购标的</w:t>
            </w:r>
          </w:p>
        </w:tc>
        <w:tc>
          <w:tcPr>
            <w:tcW w:w="2955" w:type="dxa"/>
            <w:vAlign w:val="center"/>
          </w:tcPr>
          <w:p w14:paraId="5BBDAF7C">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对应中小企业划分标准所属行业</w:t>
            </w:r>
          </w:p>
        </w:tc>
      </w:tr>
      <w:tr w14:paraId="21E4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069" w:type="dxa"/>
          </w:tcPr>
          <w:p w14:paraId="4CE92592">
            <w:pPr>
              <w:spacing w:line="0" w:lineRule="atLeast"/>
              <w:jc w:val="center"/>
              <w:rPr>
                <w:rFonts w:hint="eastAsia" w:ascii="宋体" w:hAnsi="宋体" w:eastAsia="宋体" w:cs="Times New Roman"/>
                <w:color w:val="auto"/>
                <w:kern w:val="0"/>
                <w:sz w:val="24"/>
                <w:szCs w:val="24"/>
                <w:highlight w:val="none"/>
                <w:lang w:eastAsia="zh-CN"/>
              </w:rPr>
            </w:pPr>
          </w:p>
          <w:p w14:paraId="4731038B">
            <w:pPr>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一</w:t>
            </w:r>
          </w:p>
        </w:tc>
        <w:tc>
          <w:tcPr>
            <w:tcW w:w="901" w:type="dxa"/>
          </w:tcPr>
          <w:p w14:paraId="3CF2A13F">
            <w:pPr>
              <w:spacing w:line="0" w:lineRule="atLeast"/>
              <w:jc w:val="center"/>
              <w:rPr>
                <w:rFonts w:hint="eastAsia" w:ascii="宋体" w:hAnsi="宋体" w:eastAsia="宋体" w:cs="Times New Roman"/>
                <w:color w:val="auto"/>
                <w:kern w:val="0"/>
                <w:sz w:val="24"/>
                <w:szCs w:val="24"/>
                <w:highlight w:val="none"/>
              </w:rPr>
            </w:pPr>
          </w:p>
          <w:p w14:paraId="3E61D6DE">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3972" w:type="dxa"/>
          </w:tcPr>
          <w:p w14:paraId="639AA5C3">
            <w:pPr>
              <w:tabs>
                <w:tab w:val="left" w:pos="2020"/>
              </w:tabs>
              <w:spacing w:line="0" w:lineRule="atLeast"/>
              <w:jc w:val="center"/>
              <w:rPr>
                <w:rFonts w:hint="eastAsia" w:ascii="宋体" w:hAnsi="宋体" w:eastAsia="宋体" w:cs="Times New Roman"/>
                <w:color w:val="auto"/>
                <w:kern w:val="0"/>
                <w:sz w:val="24"/>
                <w:szCs w:val="24"/>
                <w:highlight w:val="none"/>
              </w:rPr>
            </w:pPr>
          </w:p>
          <w:p w14:paraId="4A7CE7A7">
            <w:pPr>
              <w:tabs>
                <w:tab w:val="left" w:pos="2020"/>
              </w:tabs>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宿豫区大兴中心医院健康体检信息管理系统采购项目</w:t>
            </w:r>
          </w:p>
        </w:tc>
        <w:tc>
          <w:tcPr>
            <w:tcW w:w="2955" w:type="dxa"/>
          </w:tcPr>
          <w:p w14:paraId="2E1282EE">
            <w:pPr>
              <w:spacing w:line="0" w:lineRule="atLeast"/>
              <w:jc w:val="center"/>
              <w:rPr>
                <w:rFonts w:hint="eastAsia" w:ascii="宋体" w:hAnsi="宋体" w:eastAsia="宋体" w:cs="Times New Roman"/>
                <w:color w:val="auto"/>
                <w:kern w:val="0"/>
                <w:sz w:val="24"/>
                <w:szCs w:val="24"/>
                <w:highlight w:val="none"/>
              </w:rPr>
            </w:pPr>
          </w:p>
          <w:p w14:paraId="34CFC5D0">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软件和信息技术服务业</w:t>
            </w:r>
          </w:p>
        </w:tc>
      </w:tr>
    </w:tbl>
    <w:p w14:paraId="6C67C43A">
      <w:pPr>
        <w:spacing w:line="400" w:lineRule="exact"/>
        <w:ind w:firstLine="482" w:firstLineChars="200"/>
        <w:rPr>
          <w:rFonts w:hint="eastAsia" w:ascii="宋体" w:hAnsi="宋体" w:eastAsia="宋体" w:cs="Times New Roman"/>
          <w:b/>
          <w:color w:val="auto"/>
          <w:kern w:val="0"/>
          <w:sz w:val="24"/>
          <w:szCs w:val="24"/>
          <w:highlight w:val="none"/>
        </w:rPr>
      </w:pPr>
    </w:p>
    <w:p w14:paraId="453C7BC6">
      <w:pPr>
        <w:numPr>
          <w:ilvl w:val="0"/>
          <w:numId w:val="0"/>
        </w:numPr>
        <w:spacing w:line="0" w:lineRule="atLeast"/>
        <w:ind w:firstLine="482" w:firstLineChars="200"/>
        <w:rPr>
          <w:rFonts w:hint="default" w:ascii="宋体" w:hAnsi="宋体" w:eastAsia="宋体" w:cs="Times New Roman"/>
          <w:b/>
          <w:color w:val="auto"/>
          <w:kern w:val="0"/>
          <w:sz w:val="24"/>
          <w:szCs w:val="24"/>
          <w:lang w:val="en-US" w:eastAsia="zh-CN" w:bidi="ar-SA"/>
        </w:rPr>
      </w:pPr>
      <w:bookmarkStart w:id="0" w:name="_Toc516580154"/>
      <w:r>
        <w:rPr>
          <w:rFonts w:hint="eastAsia" w:ascii="宋体" w:hAnsi="宋体" w:eastAsia="宋体" w:cs="Times New Roman"/>
          <w:b/>
          <w:color w:val="auto"/>
          <w:kern w:val="0"/>
          <w:sz w:val="24"/>
          <w:szCs w:val="24"/>
          <w:lang w:val="en-US" w:eastAsia="zh-CN" w:bidi="ar-SA"/>
        </w:rPr>
        <w:t>二、项目概况</w:t>
      </w:r>
    </w:p>
    <w:p w14:paraId="6349CD4C">
      <w:pPr>
        <w:widowControl/>
        <w:spacing w:line="360" w:lineRule="auto"/>
        <w:ind w:firstLine="480" w:firstLineChars="200"/>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1.</w:t>
      </w:r>
      <w:r>
        <w:rPr>
          <w:rFonts w:hint="eastAsia" w:ascii="宋体" w:hAnsi="宋体" w:eastAsia="宋体" w:cs="Times New Roman"/>
          <w:color w:val="000000"/>
          <w:kern w:val="2"/>
          <w:sz w:val="24"/>
          <w:szCs w:val="24"/>
        </w:rPr>
        <w:t>项目背景：随着医院自身发展需求的不断提升以及上级单位对医院基于提升便民服务、完善相关数据上报等相关专项项目的建设要求，现需要</w:t>
      </w:r>
      <w:r>
        <w:rPr>
          <w:rFonts w:hint="eastAsia" w:ascii="宋体" w:hAnsi="宋体" w:eastAsia="宋体" w:cs="Times New Roman"/>
          <w:color w:val="000000"/>
          <w:kern w:val="2"/>
          <w:sz w:val="24"/>
          <w:szCs w:val="24"/>
          <w:lang w:val="en-US" w:eastAsia="zh-CN"/>
        </w:rPr>
        <w:t>采购一套体检系统并完成对应的系统对接</w:t>
      </w:r>
      <w:r>
        <w:rPr>
          <w:rFonts w:hint="eastAsia" w:ascii="宋体" w:hAnsi="宋体" w:eastAsia="宋体" w:cs="Times New Roman"/>
          <w:color w:val="000000"/>
          <w:kern w:val="2"/>
          <w:sz w:val="24"/>
          <w:szCs w:val="24"/>
        </w:rPr>
        <w:t>，</w:t>
      </w:r>
      <w:r>
        <w:rPr>
          <w:rFonts w:hint="eastAsia" w:ascii="宋体" w:hAnsi="宋体" w:eastAsia="宋体" w:cs="Times New Roman"/>
          <w:color w:val="000000"/>
          <w:kern w:val="2"/>
          <w:sz w:val="24"/>
          <w:szCs w:val="24"/>
          <w:lang w:val="en-US" w:eastAsia="zh-CN"/>
        </w:rPr>
        <w:t>来</w:t>
      </w:r>
      <w:r>
        <w:rPr>
          <w:rFonts w:hint="eastAsia" w:ascii="宋体" w:hAnsi="宋体" w:eastAsia="宋体" w:cs="Times New Roman"/>
          <w:color w:val="000000"/>
          <w:kern w:val="2"/>
          <w:sz w:val="24"/>
          <w:szCs w:val="24"/>
        </w:rPr>
        <w:t>完成医院及上级单位的项目建设需求。</w:t>
      </w:r>
    </w:p>
    <w:p w14:paraId="75F4ECE7">
      <w:pPr>
        <w:widowControl/>
        <w:spacing w:line="360" w:lineRule="auto"/>
        <w:ind w:firstLine="480" w:firstLineChars="200"/>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2.合同履行期限：2个月。</w:t>
      </w:r>
    </w:p>
    <w:p w14:paraId="576AE51C">
      <w:pPr>
        <w:widowControl/>
        <w:spacing w:line="360" w:lineRule="auto"/>
        <w:ind w:firstLine="480" w:firstLineChars="200"/>
        <w:rPr>
          <w:rFonts w:hint="default"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3、运行维护期：1年。</w:t>
      </w:r>
    </w:p>
    <w:p w14:paraId="0D4030EE">
      <w:pPr>
        <w:widowControl/>
        <w:spacing w:line="360" w:lineRule="auto"/>
        <w:ind w:firstLine="480" w:firstLineChars="200"/>
        <w:rPr>
          <w:rFonts w:hint="default"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4.实施地点：采购人的指定地点。</w:t>
      </w:r>
    </w:p>
    <w:p w14:paraId="54FB7D5F">
      <w:pPr>
        <w:widowControl/>
        <w:spacing w:line="360" w:lineRule="auto"/>
        <w:ind w:firstLine="480" w:firstLineChars="200"/>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5.</w:t>
      </w:r>
      <w:r>
        <w:rPr>
          <w:rFonts w:hint="eastAsia" w:ascii="宋体" w:hAnsi="宋体" w:eastAsia="宋体" w:cs="Times New Roman"/>
          <w:color w:val="000000"/>
          <w:kern w:val="2"/>
          <w:sz w:val="24"/>
          <w:szCs w:val="24"/>
        </w:rPr>
        <w:t>付款方式</w:t>
      </w:r>
      <w:r>
        <w:rPr>
          <w:rFonts w:hint="eastAsia" w:ascii="宋体" w:hAnsi="宋体" w:eastAsia="宋体" w:cs="Times New Roman"/>
          <w:color w:val="000000"/>
          <w:kern w:val="2"/>
          <w:sz w:val="24"/>
          <w:szCs w:val="24"/>
          <w:lang w:eastAsia="zh-CN"/>
        </w:rPr>
        <w:t>：</w:t>
      </w:r>
    </w:p>
    <w:p w14:paraId="7913C227">
      <w:pPr>
        <w:widowControl/>
        <w:spacing w:line="360" w:lineRule="auto"/>
        <w:ind w:firstLine="482" w:firstLineChars="200"/>
        <w:rPr>
          <w:rFonts w:hint="eastAsia" w:ascii="宋体" w:hAnsi="宋体" w:eastAsia="宋体" w:cs="Times New Roman"/>
          <w:b/>
          <w:bCs/>
          <w:color w:val="000000"/>
          <w:kern w:val="2"/>
          <w:sz w:val="24"/>
          <w:szCs w:val="24"/>
          <w:highlight w:val="none"/>
          <w:lang w:eastAsia="zh-CN"/>
        </w:rPr>
      </w:pPr>
      <w:bookmarkStart w:id="1" w:name="OLE_LINK57"/>
      <w:bookmarkStart w:id="2" w:name="OLE_LINK56"/>
      <w:r>
        <w:rPr>
          <w:rFonts w:hint="eastAsia" w:ascii="宋体" w:hAnsi="宋体" w:eastAsia="宋体" w:cs="Times New Roman"/>
          <w:b/>
          <w:bCs/>
          <w:color w:val="000000"/>
          <w:kern w:val="2"/>
          <w:sz w:val="24"/>
          <w:szCs w:val="24"/>
          <w:lang w:eastAsia="zh-CN"/>
        </w:rPr>
        <w:t>合同签订后，支付合同金额的50%作为预付款。</w:t>
      </w:r>
    </w:p>
    <w:p w14:paraId="666FE4AE">
      <w:pPr>
        <w:widowControl/>
        <w:spacing w:line="360" w:lineRule="auto"/>
        <w:ind w:firstLine="482" w:firstLineChars="200"/>
        <w:rPr>
          <w:rFonts w:hint="default" w:ascii="宋体" w:hAnsi="宋体" w:eastAsia="宋体" w:cs="Times New Roman"/>
          <w:b/>
          <w:bCs/>
          <w:color w:val="000000"/>
          <w:kern w:val="2"/>
          <w:sz w:val="24"/>
          <w:szCs w:val="24"/>
        </w:rPr>
      </w:pPr>
      <w:r>
        <w:rPr>
          <w:rFonts w:hint="eastAsia" w:ascii="宋体" w:hAnsi="宋体" w:eastAsia="宋体" w:cs="Times New Roman"/>
          <w:b/>
          <w:bCs/>
          <w:color w:val="000000"/>
          <w:kern w:val="2"/>
          <w:sz w:val="24"/>
          <w:szCs w:val="24"/>
          <w:lang w:eastAsia="zh-CN"/>
        </w:rPr>
        <w:t>完成系统上线，试运行1个月并经验收合格后，一次性付清合同价款</w:t>
      </w:r>
      <w:r>
        <w:rPr>
          <w:rFonts w:hint="eastAsia" w:ascii="宋体" w:hAnsi="宋体" w:eastAsia="宋体" w:cs="Times New Roman"/>
          <w:b/>
          <w:bCs/>
          <w:color w:val="000000"/>
          <w:kern w:val="2"/>
          <w:sz w:val="24"/>
          <w:szCs w:val="24"/>
        </w:rPr>
        <w:t>。</w:t>
      </w:r>
      <w:bookmarkEnd w:id="1"/>
      <w:bookmarkEnd w:id="2"/>
    </w:p>
    <w:p w14:paraId="7E6515AF">
      <w:pPr>
        <w:widowControl/>
        <w:spacing w:line="360" w:lineRule="auto"/>
        <w:ind w:firstLine="480" w:firstLineChars="200"/>
        <w:rPr>
          <w:rFonts w:hint="default" w:ascii="宋体" w:hAnsi="宋体" w:eastAsia="宋体" w:cs="Times New Roman"/>
          <w:color w:val="000000"/>
          <w:kern w:val="2"/>
          <w:sz w:val="24"/>
          <w:szCs w:val="24"/>
        </w:rPr>
      </w:pPr>
      <w:r>
        <w:rPr>
          <w:rFonts w:hint="default" w:ascii="宋体" w:hAnsi="宋体" w:eastAsia="宋体" w:cs="Times New Roman"/>
          <w:color w:val="000000"/>
          <w:kern w:val="2"/>
          <w:sz w:val="24"/>
          <w:szCs w:val="24"/>
        </w:rPr>
        <w:t xml:space="preserve"> </w:t>
      </w:r>
      <w:r>
        <w:rPr>
          <w:rFonts w:hint="eastAsia" w:ascii="宋体" w:hAnsi="宋体" w:eastAsia="宋体" w:cs="Times New Roman"/>
          <w:color w:val="000000"/>
          <w:kern w:val="2"/>
          <w:sz w:val="24"/>
          <w:szCs w:val="24"/>
        </w:rPr>
        <w:t>注：在签订合同时，供应商明确表示无需预付款或者主动要求降低预付款比例的金额，采购人可不适用预付款规定。支付方式可以通过转账或数字人民币等方式。</w:t>
      </w:r>
    </w:p>
    <w:p w14:paraId="660D05CC">
      <w:pPr>
        <w:widowControl/>
        <w:spacing w:line="360" w:lineRule="auto"/>
        <w:ind w:firstLine="480" w:firstLineChars="200"/>
        <w:rPr>
          <w:rFonts w:hint="default" w:ascii="宋体" w:hAnsi="宋体" w:eastAsia="宋体" w:cs="Times New Roman"/>
          <w:color w:val="000000"/>
          <w:kern w:val="2"/>
          <w:sz w:val="24"/>
          <w:szCs w:val="24"/>
        </w:rPr>
      </w:pPr>
      <w:r>
        <w:rPr>
          <w:rFonts w:hint="default" w:ascii="宋体" w:hAnsi="宋体" w:eastAsia="宋体" w:cs="Times New Roman"/>
          <w:color w:val="000000"/>
          <w:kern w:val="2"/>
          <w:sz w:val="24"/>
          <w:szCs w:val="24"/>
        </w:rPr>
        <w:t xml:space="preserve"> </w:t>
      </w:r>
      <w:r>
        <w:rPr>
          <w:rFonts w:hint="eastAsia" w:ascii="宋体" w:hAnsi="宋体" w:eastAsia="宋体" w:cs="Times New Roman"/>
          <w:color w:val="000000"/>
          <w:kern w:val="2"/>
          <w:sz w:val="24"/>
          <w:szCs w:val="24"/>
        </w:rPr>
        <w:t>付款前，成交供应商应向采购人提供符合要求的增值税发票，否则，采购人有权拒绝付款，同时不免除成交供应商合同履行义务。采购人可从应付款中直接扣除成交供应商应承担的违约金或其他费用。</w:t>
      </w:r>
    </w:p>
    <w:p w14:paraId="26D6353E">
      <w:pPr>
        <w:numPr>
          <w:ilvl w:val="0"/>
          <w:numId w:val="0"/>
        </w:numPr>
        <w:spacing w:line="0" w:lineRule="atLeast"/>
        <w:ind w:firstLine="482" w:firstLineChars="200"/>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lang w:val="en-US" w:eastAsia="zh-CN" w:bidi="ar-SA"/>
        </w:rPr>
        <w:t>三、</w:t>
      </w:r>
      <w:r>
        <w:rPr>
          <w:rFonts w:hint="eastAsia" w:ascii="宋体" w:hAnsi="宋体" w:eastAsia="宋体" w:cs="Times New Roman"/>
          <w:b/>
          <w:color w:val="auto"/>
          <w:kern w:val="0"/>
          <w:sz w:val="24"/>
          <w:szCs w:val="24"/>
          <w:highlight w:val="none"/>
          <w:lang w:val="en-US" w:eastAsia="zh-CN"/>
        </w:rPr>
        <w:t>技术参数</w:t>
      </w:r>
    </w:p>
    <w:p w14:paraId="531E51EB">
      <w:pPr>
        <w:numPr>
          <w:ilvl w:val="0"/>
          <w:numId w:val="0"/>
        </w:numPr>
        <w:spacing w:line="0" w:lineRule="atLeast"/>
        <w:ind w:firstLine="482" w:firstLineChars="200"/>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智慧健康云体检管理系统</w:t>
      </w:r>
    </w:p>
    <w:tbl>
      <w:tblPr>
        <w:tblStyle w:val="2"/>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691"/>
        <w:gridCol w:w="6273"/>
      </w:tblGrid>
      <w:tr w14:paraId="00A6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14:paraId="29C31E37">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菜单分类</w:t>
            </w:r>
          </w:p>
        </w:tc>
        <w:tc>
          <w:tcPr>
            <w:tcW w:w="1691" w:type="dxa"/>
            <w:vAlign w:val="center"/>
          </w:tcPr>
          <w:p w14:paraId="7AFFB5E9">
            <w:pPr>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模块</w:t>
            </w:r>
          </w:p>
        </w:tc>
        <w:tc>
          <w:tcPr>
            <w:tcW w:w="6273" w:type="dxa"/>
            <w:vAlign w:val="center"/>
          </w:tcPr>
          <w:p w14:paraId="6C96B870">
            <w:pPr>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参数简述</w:t>
            </w:r>
          </w:p>
        </w:tc>
      </w:tr>
      <w:tr w14:paraId="7F34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vMerge w:val="restart"/>
            <w:vAlign w:val="center"/>
          </w:tcPr>
          <w:p w14:paraId="166F79AB">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系统管理（公用）</w:t>
            </w:r>
          </w:p>
        </w:tc>
        <w:tc>
          <w:tcPr>
            <w:tcW w:w="1691" w:type="dxa"/>
            <w:shd w:val="clear" w:color="auto" w:fill="auto"/>
            <w:vAlign w:val="center"/>
          </w:tcPr>
          <w:p w14:paraId="3F15823F">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菜单管理</w:t>
            </w:r>
          </w:p>
        </w:tc>
        <w:tc>
          <w:tcPr>
            <w:tcW w:w="6273" w:type="dxa"/>
            <w:shd w:val="clear" w:color="auto" w:fill="auto"/>
            <w:vAlign w:val="center"/>
          </w:tcPr>
          <w:p w14:paraId="1CFFFBB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1、支持对系统的菜单进行统一集中管理，提供维护菜单标题、菜单目录层级关系的功能。</w:t>
            </w:r>
          </w:p>
          <w:p w14:paraId="643222BA">
            <w:pPr>
              <w:widowControl w:val="0"/>
              <w:spacing w:line="360" w:lineRule="auto"/>
              <w:jc w:val="both"/>
              <w:rPr>
                <w:rFonts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2、支持启用或停用菜单，可对菜单内的功能按钮进行单独授权。</w:t>
            </w:r>
          </w:p>
        </w:tc>
      </w:tr>
      <w:tr w14:paraId="1C5A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258E6D3D">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459D5A7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码表管理</w:t>
            </w:r>
          </w:p>
        </w:tc>
        <w:tc>
          <w:tcPr>
            <w:tcW w:w="6273" w:type="dxa"/>
            <w:shd w:val="clear" w:color="auto" w:fill="auto"/>
            <w:vAlign w:val="center"/>
          </w:tcPr>
          <w:p w14:paraId="08105C8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1、支持建立码表统一管理功能，维护码表类别、码表内容。</w:t>
            </w:r>
          </w:p>
          <w:p w14:paraId="2416089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2、支持按国家、省、市级数据源标准维护标准码表内容，并支持码表数据同步功能。</w:t>
            </w:r>
          </w:p>
        </w:tc>
      </w:tr>
      <w:tr w14:paraId="4E6A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3B628BBF">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7054575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角色管理</w:t>
            </w:r>
          </w:p>
        </w:tc>
        <w:tc>
          <w:tcPr>
            <w:tcW w:w="6273" w:type="dxa"/>
            <w:shd w:val="clear" w:color="auto" w:fill="auto"/>
            <w:vAlign w:val="center"/>
          </w:tcPr>
          <w:p w14:paraId="03DD3A4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1、支持岗位角色管理功能，结合体检机构岗位分布建立角色，分配角色使用模块的权限。</w:t>
            </w:r>
          </w:p>
          <w:p w14:paraId="69AB16F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2、支持为角色快速批量分配用户。</w:t>
            </w:r>
          </w:p>
          <w:p w14:paraId="5AE6E49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3、支持维护角色的首页门户板块设置。</w:t>
            </w:r>
          </w:p>
        </w:tc>
      </w:tr>
      <w:tr w14:paraId="20C8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5C19EC15">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2265910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首页门户</w:t>
            </w:r>
          </w:p>
        </w:tc>
        <w:tc>
          <w:tcPr>
            <w:tcW w:w="6273" w:type="dxa"/>
            <w:shd w:val="clear" w:color="auto" w:fill="auto"/>
            <w:vAlign w:val="center"/>
          </w:tcPr>
          <w:p w14:paraId="3BF0197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1、提供角色登录系统后实时动态展示岗位角色当前工作情况情况图表。</w:t>
            </w:r>
          </w:p>
          <w:p w14:paraId="7C5EB7B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2、支持用户根据使用习惯设定常用模块快捷入口功能。</w:t>
            </w:r>
          </w:p>
        </w:tc>
      </w:tr>
      <w:tr w14:paraId="243F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34FFC482">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3A28A7E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字体设置</w:t>
            </w:r>
          </w:p>
        </w:tc>
        <w:tc>
          <w:tcPr>
            <w:tcW w:w="6273" w:type="dxa"/>
            <w:shd w:val="clear" w:color="auto" w:fill="auto"/>
            <w:vAlign w:val="center"/>
          </w:tcPr>
          <w:p w14:paraId="6749591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1、支持根据用户个人习惯改变界面大小，支持大中小三种字体大小。</w:t>
            </w:r>
          </w:p>
        </w:tc>
      </w:tr>
      <w:tr w14:paraId="11D4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5CE68E67">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772DD17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设备通讯配置</w:t>
            </w:r>
          </w:p>
        </w:tc>
        <w:tc>
          <w:tcPr>
            <w:tcW w:w="6273" w:type="dxa"/>
            <w:shd w:val="clear" w:color="auto" w:fill="auto"/>
            <w:vAlign w:val="center"/>
          </w:tcPr>
          <w:p w14:paraId="2990E25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1、支持办公设备对接，如普通打印机、条码打印机、二代身份证读卡器、摄像头、高拍仪等。</w:t>
            </w:r>
          </w:p>
          <w:p w14:paraId="4C6F4668">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2、支持体检系统中具备数据或报表输出的模块设置连接的办公设备，例如现场登记、体检报告打印可设置独立连接的打印机。</w:t>
            </w:r>
          </w:p>
        </w:tc>
      </w:tr>
      <w:tr w14:paraId="7988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2702A80C">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48CA776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安全设置</w:t>
            </w:r>
          </w:p>
        </w:tc>
        <w:tc>
          <w:tcPr>
            <w:tcW w:w="6273" w:type="dxa"/>
            <w:shd w:val="clear" w:color="auto" w:fill="auto"/>
            <w:vAlign w:val="center"/>
          </w:tcPr>
          <w:p w14:paraId="2D5A6ED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1、软件响应三级等保要求，支持设定强密码校验、密码超期修改、密码错误登录限制锁定账户等功能。</w:t>
            </w:r>
          </w:p>
          <w:p w14:paraId="10DBD44B">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2、支持用户修改登录密码，支持密码超期强制修改功能。</w:t>
            </w:r>
          </w:p>
        </w:tc>
      </w:tr>
      <w:tr w14:paraId="09BB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2B8B1409">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249841B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通知公告、通知公告发布</w:t>
            </w:r>
          </w:p>
        </w:tc>
        <w:tc>
          <w:tcPr>
            <w:tcW w:w="6273" w:type="dxa"/>
            <w:shd w:val="clear" w:color="auto" w:fill="auto"/>
            <w:vAlign w:val="center"/>
          </w:tcPr>
          <w:p w14:paraId="05748A4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1、支持管理岗位发布内部通知消息，支持各用户登录系统后首页门户提醒最新通知公告并查看通知详情的功能。</w:t>
            </w:r>
          </w:p>
        </w:tc>
      </w:tr>
      <w:tr w14:paraId="2847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6885D529">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基础维护</w:t>
            </w:r>
          </w:p>
          <w:p w14:paraId="67ABCC39">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（公用）</w:t>
            </w:r>
          </w:p>
        </w:tc>
        <w:tc>
          <w:tcPr>
            <w:tcW w:w="1691" w:type="dxa"/>
            <w:shd w:val="clear" w:color="auto" w:fill="auto"/>
            <w:vAlign w:val="center"/>
          </w:tcPr>
          <w:p w14:paraId="57AD543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组织机构管理</w:t>
            </w:r>
          </w:p>
        </w:tc>
        <w:tc>
          <w:tcPr>
            <w:tcW w:w="6273" w:type="dxa"/>
            <w:shd w:val="clear" w:color="auto" w:fill="auto"/>
            <w:vAlign w:val="center"/>
          </w:tcPr>
          <w:p w14:paraId="52466B3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1、支持组织机构信息维护，维护体检组织机构的基本信息、地址、介绍等。</w:t>
            </w:r>
          </w:p>
          <w:p w14:paraId="3C88D93B">
            <w:pPr>
              <w:widowControl/>
              <w:spacing w:line="360" w:lineRule="auto"/>
              <w:rPr>
                <w:rFonts w:ascii="Times New Roman" w:hAnsi="Times New Roman" w:eastAsia="宋体" w:cs="Times New Roman"/>
                <w:kern w:val="2"/>
                <w:sz w:val="24"/>
                <w:szCs w:val="24"/>
              </w:rPr>
            </w:pPr>
            <w:r>
              <w:rPr>
                <w:rFonts w:hint="eastAsia" w:ascii="宋体" w:hAnsi="宋体" w:eastAsia="宋体" w:cs="Times New Roman"/>
                <w:color w:val="000000"/>
                <w:kern w:val="2"/>
                <w:sz w:val="24"/>
                <w:szCs w:val="24"/>
              </w:rPr>
              <w:t>2、支持组织机构分级管理，满足体检机构存在多个体检点时的分级管理要求。</w:t>
            </w:r>
          </w:p>
        </w:tc>
      </w:tr>
      <w:tr w14:paraId="55BF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60F47E44">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3FBAD85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科室人员维护</w:t>
            </w:r>
          </w:p>
        </w:tc>
        <w:tc>
          <w:tcPr>
            <w:tcW w:w="6273" w:type="dxa"/>
            <w:shd w:val="clear" w:color="auto" w:fill="auto"/>
            <w:vAlign w:val="center"/>
          </w:tcPr>
          <w:p w14:paraId="553A518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1、支持行政科室管理，维护行政科室的名称、所属体检机构等信息。</w:t>
            </w:r>
          </w:p>
          <w:p w14:paraId="5430982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2、支持科室的人员用户管理，维护用户的登录账号、姓名、电子签名、岗位角色、明细权限等。</w:t>
            </w:r>
          </w:p>
          <w:p w14:paraId="416D7A55">
            <w:pPr>
              <w:widowControl/>
              <w:spacing w:line="360" w:lineRule="auto"/>
              <w:rPr>
                <w:rFonts w:ascii="宋体" w:hAnsi="宋体" w:eastAsia="宋体" w:cs="宋体"/>
                <w:kern w:val="2"/>
                <w:sz w:val="24"/>
                <w:szCs w:val="20"/>
                <w:lang w:bidi="zh-CN"/>
              </w:rPr>
            </w:pPr>
            <w:r>
              <w:rPr>
                <w:rFonts w:hint="eastAsia" w:ascii="宋体" w:hAnsi="宋体" w:eastAsia="宋体" w:cs="Times New Roman"/>
                <w:color w:val="000000"/>
                <w:kern w:val="2"/>
                <w:sz w:val="24"/>
                <w:szCs w:val="24"/>
              </w:rPr>
              <w:t>3、支持完善的权限管理功能，能够进行菜单权限管理、医生的科室录入权限管理，具备完善的体检流程质控标准，防止检查结果的随意修改，防止总检结论同明细结果由于改动而造成不一致的情况产生。</w:t>
            </w:r>
          </w:p>
        </w:tc>
      </w:tr>
      <w:tr w14:paraId="4A68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673D6D6A">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0D07C98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科室项目维护</w:t>
            </w:r>
          </w:p>
        </w:tc>
        <w:tc>
          <w:tcPr>
            <w:tcW w:w="6273" w:type="dxa"/>
            <w:vAlign w:val="center"/>
          </w:tcPr>
          <w:p w14:paraId="053E844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1、支持体检科室管理，可维护科室名称、授权科室检查医生、科室排序、体检导检提示、前置体检科室、关注体检科室、科室检查注意事项、科室检查全部合格默认结论。</w:t>
            </w:r>
          </w:p>
          <w:p w14:paraId="12FD2B7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w:t>
            </w:r>
            <w:r>
              <w:rPr>
                <w:rFonts w:ascii="宋体" w:hAnsi="宋体" w:eastAsia="宋体" w:cs="Times New Roman"/>
                <w:color w:val="000000"/>
                <w:kern w:val="2"/>
                <w:sz w:val="24"/>
                <w:szCs w:val="24"/>
              </w:rPr>
              <w:t>、支持体检项目</w:t>
            </w:r>
            <w:r>
              <w:rPr>
                <w:rFonts w:hint="eastAsia" w:ascii="宋体" w:hAnsi="宋体" w:eastAsia="宋体" w:cs="Times New Roman"/>
                <w:color w:val="000000"/>
                <w:kern w:val="2"/>
                <w:sz w:val="24"/>
                <w:szCs w:val="24"/>
              </w:rPr>
              <w:t>管理，可维护体检项目的默认值、</w:t>
            </w:r>
            <w:r>
              <w:rPr>
                <w:rFonts w:ascii="宋体" w:hAnsi="宋体" w:eastAsia="宋体" w:cs="Times New Roman"/>
                <w:color w:val="000000"/>
                <w:kern w:val="2"/>
                <w:sz w:val="24"/>
                <w:szCs w:val="24"/>
              </w:rPr>
              <w:t>判</w:t>
            </w:r>
            <w:r>
              <w:rPr>
                <w:rFonts w:hint="eastAsia" w:ascii="宋体" w:hAnsi="宋体" w:eastAsia="宋体" w:cs="Times New Roman"/>
                <w:color w:val="000000"/>
                <w:kern w:val="2"/>
                <w:sz w:val="24"/>
                <w:szCs w:val="24"/>
              </w:rPr>
              <w:t>断</w:t>
            </w:r>
            <w:r>
              <w:rPr>
                <w:rFonts w:ascii="宋体" w:hAnsi="宋体" w:eastAsia="宋体" w:cs="Times New Roman"/>
                <w:color w:val="000000"/>
                <w:kern w:val="2"/>
                <w:sz w:val="24"/>
                <w:szCs w:val="24"/>
              </w:rPr>
              <w:t>模式</w:t>
            </w:r>
            <w:r>
              <w:rPr>
                <w:rFonts w:hint="eastAsia" w:ascii="宋体" w:hAnsi="宋体" w:eastAsia="宋体" w:cs="Times New Roman"/>
                <w:color w:val="000000"/>
                <w:kern w:val="2"/>
                <w:sz w:val="24"/>
                <w:szCs w:val="24"/>
              </w:rPr>
              <w:t>，判断模式分为“定量”、“定性”。</w:t>
            </w:r>
          </w:p>
          <w:p w14:paraId="530AE47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3、定量类项目支持维护标准值范围、临界值范围、可录入范围、参考值、计量单位、计算公式等信息。</w:t>
            </w:r>
          </w:p>
          <w:p w14:paraId="09E82D2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4、支持定量项目根据年龄段、性别等条件设定体检项目特殊标准，系统根据设定因素优先执行特殊标准。</w:t>
            </w:r>
          </w:p>
          <w:p w14:paraId="2CC26AAC">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5、定性类项目支持维护参考值、定性项目描述模版</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图文描述与结论模板，描述模版可设定是否合格。支持设定项目是否以选择项模式进行录入，选择模式包括单选、多选等模式。</w:t>
            </w:r>
          </w:p>
        </w:tc>
      </w:tr>
      <w:tr w14:paraId="637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47ABBA8E">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12F60F3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项目组合维护</w:t>
            </w:r>
          </w:p>
        </w:tc>
        <w:tc>
          <w:tcPr>
            <w:tcW w:w="6273" w:type="dxa"/>
            <w:vAlign w:val="center"/>
          </w:tcPr>
          <w:p w14:paraId="2C2B69E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1、支持体检项目组合管理，维护项目组合的名称、分类、性别、报告显示名称等信息。</w:t>
            </w:r>
          </w:p>
          <w:p w14:paraId="6ED8D88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2、支持设置项目组合的体检项目关联关系。</w:t>
            </w:r>
          </w:p>
          <w:p w14:paraId="21BD258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3、支持设置项目组合的项目收费关联关系。</w:t>
            </w:r>
          </w:p>
          <w:p w14:paraId="6B8CAD8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4、支持设置项目组合的复检项目关系。</w:t>
            </w:r>
          </w:p>
        </w:tc>
      </w:tr>
      <w:tr w14:paraId="0AFB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vMerge w:val="continue"/>
            <w:vAlign w:val="center"/>
          </w:tcPr>
          <w:p w14:paraId="72544887">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53C3669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收费项目维护</w:t>
            </w:r>
          </w:p>
        </w:tc>
        <w:tc>
          <w:tcPr>
            <w:tcW w:w="6273" w:type="dxa"/>
            <w:vAlign w:val="center"/>
          </w:tcPr>
          <w:p w14:paraId="01E4C09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1、支持体检收费项目管理，维护收费项目的行政科室、收费类别、收费项目名称、金额等信息。</w:t>
            </w:r>
          </w:p>
          <w:p w14:paraId="7CEDD536">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2、支持维护计费类型，标记收费项目是否属于采集费、材料费等，支持特殊计费类型结合实际情况合并计算功能。</w:t>
            </w:r>
          </w:p>
        </w:tc>
      </w:tr>
      <w:tr w14:paraId="32E2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26" w:type="dxa"/>
            <w:vMerge w:val="continue"/>
            <w:vAlign w:val="center"/>
          </w:tcPr>
          <w:p w14:paraId="562856FB">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647E1E9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条码配置</w:t>
            </w:r>
          </w:p>
        </w:tc>
        <w:tc>
          <w:tcPr>
            <w:tcW w:w="6273" w:type="dxa"/>
            <w:vAlign w:val="center"/>
          </w:tcPr>
          <w:p w14:paraId="5324D87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1、支持采集类型及条码管理，以采集类型分类管理条码规则，采集类型分为采血、采尿、采便、采片等。</w:t>
            </w:r>
          </w:p>
          <w:p w14:paraId="6425AC9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2、支持建立条码的分类规则，维护条码的编号生成规则、颜色、标本信息、采集提醒等，结合实际情况，满足血管条码及检查条码等要求。</w:t>
            </w:r>
          </w:p>
          <w:p w14:paraId="1A97274E">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3、支持采血条码由系统自动生成条码，或者在采血环节绑定试管出厂条码。</w:t>
            </w:r>
          </w:p>
        </w:tc>
      </w:tr>
      <w:tr w14:paraId="732D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26" w:type="dxa"/>
            <w:vMerge w:val="continue"/>
            <w:vAlign w:val="center"/>
          </w:tcPr>
          <w:p w14:paraId="15BC6DDA">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57DAB92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主检常用语维护</w:t>
            </w:r>
          </w:p>
        </w:tc>
        <w:tc>
          <w:tcPr>
            <w:tcW w:w="6273" w:type="dxa"/>
            <w:vAlign w:val="center"/>
          </w:tcPr>
          <w:p w14:paraId="37BDFC1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1、支持主检用常用语维护，富含主检常用词条供主检时快速调用。</w:t>
            </w:r>
          </w:p>
        </w:tc>
      </w:tr>
      <w:tr w14:paraId="35DD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26" w:type="dxa"/>
            <w:vMerge w:val="continue"/>
            <w:vAlign w:val="center"/>
          </w:tcPr>
          <w:p w14:paraId="38C9F279">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11F58F2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打印模版配置</w:t>
            </w:r>
          </w:p>
        </w:tc>
        <w:tc>
          <w:tcPr>
            <w:tcW w:w="6273" w:type="dxa"/>
            <w:vAlign w:val="center"/>
          </w:tcPr>
          <w:p w14:paraId="640162D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1、支持打印模板管理，包括体检导检单报表、条码报表、体检报告等模板自定义维护格式。</w:t>
            </w:r>
          </w:p>
          <w:p w14:paraId="6F28777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2、支持设定默认模板及多种配置模板供打印时选择模板进行打印。</w:t>
            </w:r>
          </w:p>
        </w:tc>
      </w:tr>
      <w:tr w14:paraId="4C56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26" w:type="dxa"/>
            <w:vMerge w:val="continue"/>
            <w:vAlign w:val="center"/>
          </w:tcPr>
          <w:p w14:paraId="0C82B560">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6C98889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仪器对接配置</w:t>
            </w:r>
          </w:p>
        </w:tc>
        <w:tc>
          <w:tcPr>
            <w:tcW w:w="6273" w:type="dxa"/>
            <w:vAlign w:val="center"/>
          </w:tcPr>
          <w:p w14:paraId="5285D1B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1、支持检查仪器设备统一管理，管理设备的连接方式、参数配置信息。</w:t>
            </w:r>
          </w:p>
        </w:tc>
      </w:tr>
      <w:tr w14:paraId="2792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26" w:type="dxa"/>
            <w:vMerge w:val="continue"/>
            <w:vAlign w:val="center"/>
          </w:tcPr>
          <w:p w14:paraId="7C3A76C2">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11EAF2C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编码规则配置</w:t>
            </w:r>
          </w:p>
        </w:tc>
        <w:tc>
          <w:tcPr>
            <w:tcW w:w="6273" w:type="dxa"/>
            <w:vAlign w:val="center"/>
          </w:tcPr>
          <w:p w14:paraId="24F9DAA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1、支持编码规则维护，体检编号、条码号等编码支持维护生成规则。</w:t>
            </w:r>
          </w:p>
        </w:tc>
      </w:tr>
      <w:tr w14:paraId="07A8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26" w:type="dxa"/>
            <w:vMerge w:val="continue"/>
            <w:vAlign w:val="center"/>
          </w:tcPr>
          <w:p w14:paraId="5D45BD26">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6F377C3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接口标准配置</w:t>
            </w:r>
          </w:p>
        </w:tc>
        <w:tc>
          <w:tcPr>
            <w:tcW w:w="6273" w:type="dxa"/>
            <w:vAlign w:val="center"/>
          </w:tcPr>
          <w:p w14:paraId="53DFAA6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1、支持统一管理对接的平台系统，维护各个对接系统的对接参数、授权信息。</w:t>
            </w:r>
          </w:p>
          <w:p w14:paraId="2A76001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2、支持对接系统的代码对照等数据，</w:t>
            </w:r>
            <w:r>
              <w:rPr>
                <w:rFonts w:ascii="宋体" w:hAnsi="宋体" w:eastAsia="宋体" w:cs="Times New Roman"/>
                <w:color w:val="000000"/>
                <w:kern w:val="2"/>
                <w:sz w:val="24"/>
                <w:szCs w:val="24"/>
              </w:rPr>
              <w:t>进行自主集中维护与调整。</w:t>
            </w:r>
          </w:p>
        </w:tc>
      </w:tr>
      <w:tr w14:paraId="6AF7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26" w:type="dxa"/>
            <w:vMerge w:val="continue"/>
            <w:vAlign w:val="center"/>
          </w:tcPr>
          <w:p w14:paraId="22EE6C75">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0128912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标签管理</w:t>
            </w:r>
          </w:p>
        </w:tc>
        <w:tc>
          <w:tcPr>
            <w:tcW w:w="6273" w:type="dxa"/>
            <w:vAlign w:val="center"/>
          </w:tcPr>
          <w:p w14:paraId="02310FE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1、支持标签管理，结合实际应用情况维护人员、套餐、企业的标签码表。</w:t>
            </w:r>
          </w:p>
          <w:p w14:paraId="7925F6AC">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2、支持在企业维护、套餐维护、人员登记环节选择标签进行标记，后续支持根据标签筛选统计。</w:t>
            </w:r>
          </w:p>
        </w:tc>
      </w:tr>
      <w:tr w14:paraId="0408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26" w:type="dxa"/>
            <w:vMerge w:val="continue"/>
            <w:vAlign w:val="center"/>
          </w:tcPr>
          <w:p w14:paraId="3DB06AAD">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70F1EA7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结论模板维护</w:t>
            </w:r>
          </w:p>
        </w:tc>
        <w:tc>
          <w:tcPr>
            <w:tcW w:w="6273" w:type="dxa"/>
            <w:vAlign w:val="center"/>
          </w:tcPr>
          <w:p w14:paraId="5C20114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r>
              <w:rPr>
                <w:rFonts w:ascii="宋体" w:hAnsi="宋体" w:eastAsia="宋体" w:cs="Times New Roman"/>
                <w:color w:val="000000"/>
                <w:kern w:val="2"/>
                <w:sz w:val="24"/>
                <w:szCs w:val="24"/>
              </w:rPr>
              <w:t>支持检查科室，如电测听、肺功能</w:t>
            </w:r>
            <w:r>
              <w:rPr>
                <w:rFonts w:hint="eastAsia" w:ascii="宋体" w:hAnsi="宋体" w:eastAsia="宋体" w:cs="Times New Roman"/>
                <w:color w:val="000000"/>
                <w:kern w:val="2"/>
                <w:sz w:val="24"/>
                <w:szCs w:val="24"/>
              </w:rPr>
              <w:t>等</w:t>
            </w:r>
            <w:r>
              <w:rPr>
                <w:rFonts w:ascii="宋体" w:hAnsi="宋体" w:eastAsia="宋体" w:cs="Times New Roman"/>
                <w:color w:val="000000"/>
                <w:kern w:val="2"/>
                <w:sz w:val="24"/>
                <w:szCs w:val="24"/>
              </w:rPr>
              <w:t>科室，建立科室检查结论的生成规则</w:t>
            </w:r>
            <w:r>
              <w:rPr>
                <w:rFonts w:hint="eastAsia" w:ascii="宋体" w:hAnsi="宋体" w:eastAsia="宋体" w:cs="Times New Roman"/>
                <w:color w:val="000000"/>
                <w:kern w:val="2"/>
                <w:sz w:val="24"/>
                <w:szCs w:val="24"/>
              </w:rPr>
              <w:t>，进行检查时根据结论规则自动分析综合结论</w:t>
            </w:r>
            <w:r>
              <w:rPr>
                <w:rFonts w:ascii="宋体" w:hAnsi="宋体" w:eastAsia="宋体" w:cs="Times New Roman"/>
                <w:color w:val="000000"/>
                <w:kern w:val="2"/>
                <w:sz w:val="24"/>
                <w:szCs w:val="24"/>
              </w:rPr>
              <w:t>。</w:t>
            </w:r>
          </w:p>
        </w:tc>
      </w:tr>
      <w:tr w14:paraId="5891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26" w:type="dxa"/>
            <w:vMerge w:val="continue"/>
            <w:vAlign w:val="center"/>
          </w:tcPr>
          <w:p w14:paraId="0861CA01">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375711B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疾病库</w:t>
            </w:r>
          </w:p>
        </w:tc>
        <w:tc>
          <w:tcPr>
            <w:tcW w:w="6273" w:type="dxa"/>
            <w:vAlign w:val="center"/>
          </w:tcPr>
          <w:p w14:paraId="495466B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1、支持疾病库管理，支持维护阳性指征或者疾病的医学解释、常见原因，健康建议。</w:t>
            </w:r>
          </w:p>
          <w:p w14:paraId="1DBE84A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2、依据现行疾病管理要求，将重大异常分为A类异常及B类异常。</w:t>
            </w:r>
          </w:p>
          <w:p w14:paraId="577C237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3、支持疾病规则维护，可建立一元化管理要求，疾病严重程度分级、多异常综合分析等条件，建立疾病自动分析功能，供主检判断自动匹配。</w:t>
            </w:r>
          </w:p>
        </w:tc>
      </w:tr>
      <w:tr w14:paraId="45FF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226" w:type="dxa"/>
            <w:vAlign w:val="center"/>
          </w:tcPr>
          <w:p w14:paraId="6C8DE265">
            <w:pPr>
              <w:widowControl/>
              <w:spacing w:line="360" w:lineRule="auto"/>
              <w:jc w:val="center"/>
              <w:rPr>
                <w:rFonts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基础维护（福利）</w:t>
            </w:r>
          </w:p>
        </w:tc>
        <w:tc>
          <w:tcPr>
            <w:tcW w:w="1691" w:type="dxa"/>
            <w:shd w:val="clear" w:color="auto" w:fill="auto"/>
            <w:vAlign w:val="center"/>
          </w:tcPr>
          <w:p w14:paraId="59BB0AD7">
            <w:pPr>
              <w:widowControl/>
              <w:spacing w:line="360" w:lineRule="auto"/>
              <w:rPr>
                <w:rFonts w:ascii="宋体" w:hAnsi="宋体" w:eastAsia="宋体" w:cs="宋体"/>
                <w:kern w:val="2"/>
                <w:sz w:val="24"/>
                <w:szCs w:val="20"/>
                <w:highlight w:val="none"/>
                <w:lang w:bidi="zh-CN"/>
              </w:rPr>
            </w:pPr>
            <w:r>
              <w:rPr>
                <w:rFonts w:hint="eastAsia" w:ascii="宋体" w:hAnsi="宋体" w:eastAsia="宋体" w:cs="Times New Roman"/>
                <w:color w:val="000000"/>
                <w:kern w:val="2"/>
                <w:sz w:val="24"/>
                <w:szCs w:val="24"/>
                <w:highlight w:val="none"/>
              </w:rPr>
              <w:t>问卷管理</w:t>
            </w:r>
          </w:p>
        </w:tc>
        <w:tc>
          <w:tcPr>
            <w:tcW w:w="6273" w:type="dxa"/>
            <w:shd w:val="clear" w:color="auto" w:fill="auto"/>
            <w:vAlign w:val="center"/>
          </w:tcPr>
          <w:p w14:paraId="76411100">
            <w:pPr>
              <w:widowControl/>
              <w:spacing w:line="360" w:lineRule="auto"/>
              <w:rPr>
                <w:rFonts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1、支持建立问卷，维护问卷题目及答题方式，答题方式包括单选题、多选题、文本题。</w:t>
            </w:r>
          </w:p>
          <w:p w14:paraId="3A00F025">
            <w:pPr>
              <w:widowControl/>
              <w:spacing w:line="360" w:lineRule="auto"/>
              <w:rPr>
                <w:rFonts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2、支持引出题目功能，可设定当题目选择指定答案时增加关联题目的功能。</w:t>
            </w:r>
          </w:p>
          <w:p w14:paraId="471268AB">
            <w:pPr>
              <w:widowControl/>
              <w:spacing w:line="360" w:lineRule="auto"/>
              <w:rPr>
                <w:rFonts w:ascii="Times New Roman" w:hAnsi="Times New Roman" w:eastAsia="宋体" w:cs="Times New Roman"/>
                <w:kern w:val="2"/>
                <w:sz w:val="28"/>
                <w:szCs w:val="20"/>
                <w:highlight w:val="none"/>
              </w:rPr>
            </w:pPr>
            <w:r>
              <w:rPr>
                <w:rFonts w:hint="eastAsia" w:ascii="宋体" w:hAnsi="宋体" w:eastAsia="宋体" w:cs="Times New Roman"/>
                <w:color w:val="000000"/>
                <w:kern w:val="2"/>
                <w:sz w:val="24"/>
                <w:szCs w:val="24"/>
                <w:highlight w:val="none"/>
              </w:rPr>
              <w:t>3、支持建立多套问卷适用于检前健康问卷、检中健康问卷、职业问诊问卷、公卫问诊问卷等多种问卷类型。</w:t>
            </w:r>
          </w:p>
        </w:tc>
      </w:tr>
      <w:tr w14:paraId="6E3E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26" w:type="dxa"/>
            <w:vMerge w:val="restart"/>
            <w:vAlign w:val="center"/>
          </w:tcPr>
          <w:p w14:paraId="59C0CBD6">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企业管理（公用）</w:t>
            </w:r>
          </w:p>
        </w:tc>
        <w:tc>
          <w:tcPr>
            <w:tcW w:w="1691" w:type="dxa"/>
            <w:vAlign w:val="center"/>
          </w:tcPr>
          <w:p w14:paraId="20274DE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企业信息维护</w:t>
            </w:r>
          </w:p>
        </w:tc>
        <w:tc>
          <w:tcPr>
            <w:tcW w:w="6273" w:type="dxa"/>
            <w:vAlign w:val="center"/>
          </w:tcPr>
          <w:p w14:paraId="076DEF1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1、支持完善的企业档案信息管理功能，维护企业档案信息，实现对企业健康监护情况的连续性监测。</w:t>
            </w:r>
          </w:p>
          <w:p w14:paraId="08DE11D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2、支持维护企业相关的车间部门、行业信息、联系人信息、银行账户信息等。</w:t>
            </w:r>
          </w:p>
        </w:tc>
      </w:tr>
      <w:tr w14:paraId="0068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26" w:type="dxa"/>
            <w:vMerge w:val="continue"/>
            <w:vAlign w:val="center"/>
          </w:tcPr>
          <w:p w14:paraId="36F5D4B4">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738847F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体检套餐维护</w:t>
            </w:r>
          </w:p>
        </w:tc>
        <w:tc>
          <w:tcPr>
            <w:tcW w:w="6273" w:type="dxa"/>
            <w:vAlign w:val="center"/>
          </w:tcPr>
          <w:p w14:paraId="35A0FD6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1、支持自定义体检套餐功能，可根据业务需要设定通用套餐或企业定制套餐。</w:t>
            </w:r>
          </w:p>
          <w:p w14:paraId="24CF9D7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2、支持维护套餐名称、体检类型、套餐介绍、注意事项、性别等信息，自定义维护套餐体检项目组合。</w:t>
            </w:r>
          </w:p>
          <w:p w14:paraId="130C167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3、支持根据体检项目组合自动生成体检收费项目明细，可设定协议总金额或者对单个收费项目设定单项协议金额。</w:t>
            </w:r>
          </w:p>
          <w:p w14:paraId="00214B5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4、支持体检套餐连续性变更管理以及历史查询。</w:t>
            </w:r>
          </w:p>
          <w:p w14:paraId="6B8134A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5、支持套餐快速复制应用。</w:t>
            </w:r>
          </w:p>
          <w:p w14:paraId="211226C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6、支持当体检套餐折扣金额比率低于设定值后续经审核否方可使用</w:t>
            </w:r>
            <w:r>
              <w:rPr>
                <w:rFonts w:ascii="宋体" w:hAnsi="宋体" w:eastAsia="宋体" w:cs="Times New Roman"/>
                <w:color w:val="000000"/>
                <w:kern w:val="2"/>
                <w:sz w:val="24"/>
                <w:szCs w:val="24"/>
              </w:rPr>
              <w:t>的套餐审核功能</w:t>
            </w:r>
            <w:r>
              <w:rPr>
                <w:rFonts w:hint="eastAsia" w:ascii="宋体" w:hAnsi="宋体" w:eastAsia="宋体" w:cs="Times New Roman"/>
                <w:color w:val="000000"/>
                <w:kern w:val="2"/>
                <w:sz w:val="24"/>
                <w:szCs w:val="24"/>
              </w:rPr>
              <w:t>。</w:t>
            </w:r>
          </w:p>
          <w:p w14:paraId="5A5A980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7、支持方案协议单打印、导出PDF电子版。</w:t>
            </w:r>
          </w:p>
          <w:p w14:paraId="7935BD2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8、支持体检套餐早餐设定，绑定早餐费用。</w:t>
            </w:r>
          </w:p>
          <w:p w14:paraId="1B0BC0D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9、支持套餐绑定体检报告模板，体检报告打印时优先打印指定模板样式。</w:t>
            </w:r>
          </w:p>
          <w:p w14:paraId="38B2273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10、 支持设定套餐的收费方式为预付费或后付费，依据设定控制登记后是否需先进行费用结算后方可体检。</w:t>
            </w:r>
          </w:p>
          <w:p w14:paraId="6DC8417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11、支持混合体检类型套餐制作，满足一次体检按不同体检类型出具多份体检报告的要求。</w:t>
            </w:r>
          </w:p>
        </w:tc>
      </w:tr>
      <w:tr w14:paraId="391D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26" w:type="dxa"/>
            <w:vMerge w:val="continue"/>
            <w:vAlign w:val="center"/>
          </w:tcPr>
          <w:p w14:paraId="617A9B42">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434610C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储值管理</w:t>
            </w:r>
          </w:p>
        </w:tc>
        <w:tc>
          <w:tcPr>
            <w:tcW w:w="6273" w:type="dxa"/>
            <w:shd w:val="clear" w:color="auto" w:fill="auto"/>
            <w:vAlign w:val="center"/>
          </w:tcPr>
          <w:p w14:paraId="1690C4D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1、支持企业储值管理功能，提供为为企业建立储值账户预先充值体检订金，开具票据。</w:t>
            </w:r>
          </w:p>
          <w:p w14:paraId="6AB905A8">
            <w:pPr>
              <w:widowControl/>
              <w:spacing w:line="360" w:lineRule="auto"/>
              <w:rPr>
                <w:rFonts w:ascii="宋体" w:hAnsi="宋体" w:eastAsia="宋体" w:cs="Times New Roman"/>
                <w:color w:val="000000"/>
                <w:kern w:val="2"/>
                <w:sz w:val="24"/>
                <w:szCs w:val="24"/>
              </w:rPr>
            </w:pPr>
            <w:r>
              <w:rPr>
                <w:rFonts w:ascii="宋体" w:hAnsi="宋体" w:eastAsia="宋体" w:cs="Times New Roman"/>
                <w:color w:val="000000"/>
                <w:kern w:val="2"/>
                <w:sz w:val="24"/>
                <w:szCs w:val="24"/>
              </w:rPr>
              <w:t>2</w:t>
            </w:r>
            <w:r>
              <w:rPr>
                <w:rFonts w:hint="eastAsia" w:ascii="宋体" w:hAnsi="宋体" w:eastAsia="宋体" w:cs="Times New Roman"/>
                <w:color w:val="000000"/>
                <w:kern w:val="2"/>
                <w:sz w:val="24"/>
                <w:szCs w:val="24"/>
              </w:rPr>
              <w:t>、支持管理储值账户目录，查询账户余额信息。</w:t>
            </w:r>
          </w:p>
          <w:p w14:paraId="12397D8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3、支持依据实际体检登记记录收费时，可调用企业储值账户余额进行核销和扣款的功能。</w:t>
            </w:r>
          </w:p>
        </w:tc>
      </w:tr>
      <w:tr w14:paraId="3C17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26" w:type="dxa"/>
            <w:vMerge w:val="continue"/>
            <w:vAlign w:val="center"/>
          </w:tcPr>
          <w:p w14:paraId="159743C5">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782CCA3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储值明细查询</w:t>
            </w:r>
          </w:p>
        </w:tc>
        <w:tc>
          <w:tcPr>
            <w:tcW w:w="6273" w:type="dxa"/>
            <w:shd w:val="clear" w:color="auto" w:fill="auto"/>
            <w:vAlign w:val="center"/>
          </w:tcPr>
          <w:p w14:paraId="2FCB55D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1、支持账户流水单信息查询与导出流水账功能。</w:t>
            </w:r>
          </w:p>
        </w:tc>
      </w:tr>
      <w:tr w14:paraId="62B6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226" w:type="dxa"/>
            <w:shd w:val="clear" w:color="auto" w:fill="auto"/>
            <w:vAlign w:val="center"/>
          </w:tcPr>
          <w:p w14:paraId="5867EAFE">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企业管理（福利）</w:t>
            </w:r>
          </w:p>
        </w:tc>
        <w:tc>
          <w:tcPr>
            <w:tcW w:w="1691" w:type="dxa"/>
            <w:shd w:val="clear" w:color="auto" w:fill="auto"/>
            <w:vAlign w:val="center"/>
          </w:tcPr>
          <w:p w14:paraId="374F735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团体报告编制</w:t>
            </w:r>
          </w:p>
        </w:tc>
        <w:tc>
          <w:tcPr>
            <w:tcW w:w="6273" w:type="dxa"/>
            <w:shd w:val="clear" w:color="auto" w:fill="auto"/>
            <w:vAlign w:val="center"/>
          </w:tcPr>
          <w:p w14:paraId="53E37C5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1、支持选定人群范围后系统自动生成健康体检团体报告，无需人工汇总数据。</w:t>
            </w:r>
          </w:p>
          <w:p w14:paraId="276195E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按年龄层、性别、体检套餐分类统计检查人数及检查项目，自动分析疾病异常率及名单，支持人工介入调整选择排名前十、全部疾病或者指定疾病进行统计，列出疾病及相关的解释、常见原因、健康建议。</w:t>
            </w:r>
          </w:p>
          <w:p w14:paraId="158D20A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3、支持列出体检人员汇总表、缺项人员名单、重大异常人员名单数据。</w:t>
            </w:r>
          </w:p>
          <w:p w14:paraId="69F54F6D">
            <w:pPr>
              <w:widowControl w:val="0"/>
              <w:spacing w:line="360" w:lineRule="auto"/>
              <w:jc w:val="both"/>
              <w:rPr>
                <w:rFonts w:ascii="宋体" w:hAnsi="宋体" w:eastAsia="宋体" w:cs="宋体"/>
                <w:kern w:val="2"/>
                <w:sz w:val="24"/>
                <w:szCs w:val="22"/>
                <w:lang w:val="en-US" w:eastAsia="zh-CN" w:bidi="zh-CN"/>
              </w:rPr>
            </w:pPr>
            <w:r>
              <w:rPr>
                <w:rFonts w:hint="eastAsia" w:ascii="宋体" w:hAnsi="宋体" w:eastAsia="宋体" w:cs="宋体"/>
                <w:color w:val="000000"/>
                <w:kern w:val="2"/>
                <w:sz w:val="24"/>
                <w:szCs w:val="24"/>
                <w:lang w:val="en-US" w:eastAsia="zh-CN" w:bidi="zh-CN"/>
              </w:rPr>
              <w:t>4、支持团体历年体检情况对比分析。</w:t>
            </w:r>
          </w:p>
          <w:p w14:paraId="710EEE94">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5、支持团体报告报表打印或导出PDF的功能。</w:t>
            </w:r>
          </w:p>
        </w:tc>
      </w:tr>
      <w:tr w14:paraId="7695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vMerge w:val="restart"/>
            <w:vAlign w:val="center"/>
          </w:tcPr>
          <w:p w14:paraId="0A97F44F">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体检登记（公用）</w:t>
            </w:r>
          </w:p>
        </w:tc>
        <w:tc>
          <w:tcPr>
            <w:tcW w:w="1691" w:type="dxa"/>
            <w:vAlign w:val="center"/>
          </w:tcPr>
          <w:p w14:paraId="6DE163E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现场登记</w:t>
            </w:r>
          </w:p>
        </w:tc>
        <w:tc>
          <w:tcPr>
            <w:tcW w:w="6273" w:type="dxa"/>
            <w:vAlign w:val="center"/>
          </w:tcPr>
          <w:p w14:paraId="699F034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1、支持身份证读卡采集体检人员基本信息或手工输入体检人员相关信息功能，支持证件号码有效性校验功能。</w:t>
            </w:r>
          </w:p>
          <w:p w14:paraId="456F7EB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2、支持登记时以证件唯一号建立体检人员档案，归纳人员历次体检信息形成体检档案库，建立连续性档案监测管理机制，体检过程中提供调阅历史档案信息。</w:t>
            </w:r>
          </w:p>
          <w:p w14:paraId="2E8D610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3、支持人脸核验设备验证持证人是否为证件本人，有效防止“代检”行为。</w:t>
            </w:r>
          </w:p>
          <w:p w14:paraId="3CD9C3C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4、支持现场拍照功能，可补充二代身份证照片，可拍摄体检人员现场照片，支持体检报告打印时打印证件照和现场照两种照片。</w:t>
            </w:r>
          </w:p>
          <w:p w14:paraId="6993DF5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5、支持选择体检套餐调取套餐检项信息进行体检快速登记，也可现场自定义选择项目组合进行登记，支持现场调整体检项目组合功能。</w:t>
            </w:r>
          </w:p>
          <w:p w14:paraId="39EDA1B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6、支持登记界面进行人员总金额或单项金额折扣功能。</w:t>
            </w:r>
          </w:p>
          <w:p w14:paraId="5C09D8D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7、支持区分是预付费个人体检还是后付费团体体检，建立流程管理机制控制个人体检需进行体检结算后方可开始体检，支持团体体检基础上增加个检预付费项目的功能。</w:t>
            </w:r>
          </w:p>
          <w:p w14:paraId="5494D75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8、支持打印体检流转单、条形码功能，支持配置多种样式流转单来适应不同体检场景。</w:t>
            </w:r>
          </w:p>
          <w:p w14:paraId="1EC8175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9、支持快速调取当日登记记录修改登记信息或补打单据功能。</w:t>
            </w:r>
          </w:p>
          <w:p w14:paraId="4B4ED46F">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10、系统支持多体检类型混合体检功能，结合实际情况支持一次登记多个体检类型套餐，仅需一次登记、一次体检，体检结束后按不同体检要求进行分类主检并出具不同报告的功能。</w:t>
            </w:r>
          </w:p>
        </w:tc>
      </w:tr>
      <w:tr w14:paraId="622B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vMerge w:val="continue"/>
            <w:vAlign w:val="center"/>
          </w:tcPr>
          <w:p w14:paraId="532259D9">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046FE59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登记信息管理</w:t>
            </w:r>
          </w:p>
        </w:tc>
        <w:tc>
          <w:tcPr>
            <w:tcW w:w="6273" w:type="dxa"/>
            <w:vAlign w:val="center"/>
          </w:tcPr>
          <w:p w14:paraId="36F1689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1、支持企业体检名单信息批量导入、必输信息正确性\逻辑正确性校核，校核错误信息一键过滤导出，自动匹配体检套餐完成名单导入，批量打印流转单及条码的功能。</w:t>
            </w:r>
          </w:p>
          <w:p w14:paraId="754CB65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2、支持登记人员名单批量管理，筛选名单及导出EXCEL表格的功能。</w:t>
            </w:r>
          </w:p>
          <w:p w14:paraId="448C56F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3、支持批量补打流转单、条码、检查单的功能。</w:t>
            </w:r>
          </w:p>
          <w:p w14:paraId="6A34F36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4、支持批量增减项目组合的功能，可控制调整项目后费用是否变更。</w:t>
            </w:r>
          </w:p>
          <w:p w14:paraId="57BC03A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5、支持授权管理人员修改体检人员基本信息、科室结果信息、主检信息、问诊信息的功能。</w:t>
            </w:r>
          </w:p>
          <w:p w14:paraId="5B73230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6、支持补充体检人员头像的功能，提供刷证件补充证件照或者链接摄像头补充现场照片两种模式。</w:t>
            </w:r>
          </w:p>
          <w:p w14:paraId="0D760C69">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7、支持删除未体检人员等功能。</w:t>
            </w:r>
          </w:p>
        </w:tc>
      </w:tr>
      <w:tr w14:paraId="58BB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vMerge w:val="continue"/>
            <w:vAlign w:val="center"/>
          </w:tcPr>
          <w:p w14:paraId="5579DD5D">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77BC693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预约信息管理</w:t>
            </w:r>
          </w:p>
        </w:tc>
        <w:tc>
          <w:tcPr>
            <w:tcW w:w="6273" w:type="dxa"/>
            <w:vAlign w:val="center"/>
          </w:tcPr>
          <w:p w14:paraId="14743BA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1、支持企业体检名单信息批量导入、必输信息正确性\逻辑正确性校核，校核错误信息一键过滤导出，自动匹配体检套餐完成名单批量预约导入，支持受检者导检后凭身份验证信息快速调取预约信息进行登记。</w:t>
            </w:r>
          </w:p>
          <w:p w14:paraId="3104BB8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2、支持预约体检人员名单批量管理，查看预约未登记、预约已登记、已取消人员名单，批量筛选及导出EXCEL表格的功能。</w:t>
            </w:r>
          </w:p>
          <w:p w14:paraId="2CBC96BF">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3、支持修改预约信息、取消预约的功能</w:t>
            </w: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支持设计及打印预约体检单的功能。</w:t>
            </w:r>
          </w:p>
        </w:tc>
      </w:tr>
      <w:tr w14:paraId="4DCA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vMerge w:val="continue"/>
            <w:vAlign w:val="center"/>
          </w:tcPr>
          <w:p w14:paraId="5C520336">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2B246D4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延期管理</w:t>
            </w:r>
          </w:p>
        </w:tc>
        <w:tc>
          <w:tcPr>
            <w:tcW w:w="6273" w:type="dxa"/>
            <w:vAlign w:val="center"/>
          </w:tcPr>
          <w:p w14:paraId="0EA91C7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1、延期检查人员支持设定检查延期日期，系统自动归类延期人员进入延期管理流程。</w:t>
            </w:r>
          </w:p>
          <w:p w14:paraId="2EE4A26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2、提供延期跟踪管理模块，对超期未来检查的信息预警提醒功能。</w:t>
            </w:r>
          </w:p>
          <w:p w14:paraId="1DF7680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3、支持拒绝恢复的体检人员一键处理为缺项，记录缺项原因，进入下一流程环节。</w:t>
            </w:r>
          </w:p>
          <w:p w14:paraId="4830B737">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4、支持恢复体检人员打印延期流转单，指引体检人员到目标科室进行检查。</w:t>
            </w:r>
          </w:p>
        </w:tc>
      </w:tr>
      <w:tr w14:paraId="6561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vMerge w:val="continue"/>
            <w:vAlign w:val="center"/>
          </w:tcPr>
          <w:p w14:paraId="22EB9C82">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77836C3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缺项管理</w:t>
            </w:r>
          </w:p>
        </w:tc>
        <w:tc>
          <w:tcPr>
            <w:tcW w:w="6273" w:type="dxa"/>
            <w:vAlign w:val="center"/>
          </w:tcPr>
          <w:p w14:paraId="3603731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1、支持批量对存在缺项的受检者进行汇总，以人员或者科室为统计角度批量查询缺项名单及缺项科室。</w:t>
            </w:r>
          </w:p>
          <w:p w14:paraId="76E20460">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2、支持批量对缺项状态的体检数据进行处置，记录缺项原因，使体检流程顺利流转。</w:t>
            </w:r>
          </w:p>
        </w:tc>
      </w:tr>
      <w:tr w14:paraId="2548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vMerge w:val="continue"/>
            <w:vAlign w:val="center"/>
          </w:tcPr>
          <w:p w14:paraId="788B2C08">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08C11BD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复检管理</w:t>
            </w:r>
          </w:p>
        </w:tc>
        <w:tc>
          <w:tcPr>
            <w:tcW w:w="6273" w:type="dxa"/>
            <w:vAlign w:val="center"/>
          </w:tcPr>
          <w:p w14:paraId="4D8FC8A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1、支持复检人员复检进度跟踪预警功能，提供医生查询超期未复检人员并联系。</w:t>
            </w:r>
          </w:p>
          <w:p w14:paraId="2E2CAA5C">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2、支持根据相关体检规范要求，提供确认拒复检人员一键撤回报告重新主检功能。</w:t>
            </w:r>
          </w:p>
        </w:tc>
      </w:tr>
      <w:tr w14:paraId="77D8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26" w:type="dxa"/>
            <w:vAlign w:val="center"/>
          </w:tcPr>
          <w:p w14:paraId="410F5229">
            <w:pPr>
              <w:widowControl/>
              <w:spacing w:line="360" w:lineRule="auto"/>
              <w:jc w:val="center"/>
              <w:rPr>
                <w:rFonts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体检登记（从业）</w:t>
            </w:r>
          </w:p>
        </w:tc>
        <w:tc>
          <w:tcPr>
            <w:tcW w:w="1691" w:type="dxa"/>
            <w:vAlign w:val="center"/>
          </w:tcPr>
          <w:p w14:paraId="78A5C7EE">
            <w:pPr>
              <w:widowControl/>
              <w:spacing w:line="360" w:lineRule="auto"/>
              <w:rPr>
                <w:rFonts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现场登记</w:t>
            </w:r>
          </w:p>
        </w:tc>
        <w:tc>
          <w:tcPr>
            <w:tcW w:w="6273" w:type="dxa"/>
            <w:vAlign w:val="center"/>
          </w:tcPr>
          <w:p w14:paraId="6308AD14">
            <w:pPr>
              <w:widowControl/>
              <w:spacing w:line="360" w:lineRule="auto"/>
              <w:rPr>
                <w:rFonts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1、支持根据发证类别快速登记体检。</w:t>
            </w:r>
          </w:p>
          <w:p w14:paraId="360C87AF">
            <w:pPr>
              <w:widowControl/>
              <w:spacing w:line="360" w:lineRule="auto"/>
              <w:rPr>
                <w:rFonts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2、支持设定受检者照片必输控制，满足健康证发证要求。</w:t>
            </w:r>
          </w:p>
          <w:p w14:paraId="436CD48A">
            <w:pPr>
              <w:widowControl/>
              <w:spacing w:line="360" w:lineRule="auto"/>
              <w:rPr>
                <w:rFonts w:ascii="Times New Roman" w:hAnsi="Times New Roman" w:eastAsia="宋体" w:cs="Times New Roman"/>
                <w:kern w:val="2"/>
                <w:sz w:val="28"/>
                <w:szCs w:val="20"/>
                <w:highlight w:val="none"/>
              </w:rPr>
            </w:pPr>
            <w:r>
              <w:rPr>
                <w:rFonts w:hint="eastAsia" w:ascii="宋体" w:hAnsi="宋体" w:eastAsia="宋体" w:cs="Times New Roman"/>
                <w:color w:val="000000"/>
                <w:kern w:val="2"/>
                <w:sz w:val="24"/>
                <w:szCs w:val="24"/>
                <w:highlight w:val="none"/>
              </w:rPr>
              <w:t>3、支持健康证有效日期范围内重复体检提醒功能。</w:t>
            </w:r>
          </w:p>
        </w:tc>
      </w:tr>
      <w:tr w14:paraId="2850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26" w:type="dxa"/>
            <w:vAlign w:val="center"/>
          </w:tcPr>
          <w:p w14:paraId="0276B850">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体检登记（公卫）</w:t>
            </w:r>
          </w:p>
        </w:tc>
        <w:tc>
          <w:tcPr>
            <w:tcW w:w="1691" w:type="dxa"/>
            <w:vAlign w:val="center"/>
          </w:tcPr>
          <w:p w14:paraId="596A2B9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现场登记</w:t>
            </w:r>
          </w:p>
        </w:tc>
        <w:tc>
          <w:tcPr>
            <w:tcW w:w="6273" w:type="dxa"/>
            <w:vAlign w:val="center"/>
          </w:tcPr>
          <w:p w14:paraId="1EE203B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1、支持按规范记录受检者现住址门牌号、街道居委会、社保编号等信息。</w:t>
            </w:r>
          </w:p>
          <w:p w14:paraId="2B38AB3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2、支持按《国家基本公共卫生服务规范 第三版》要求登记65周岁体检、退休职工体检、高血压患者体检、2型糖尿病患者等体检。</w:t>
            </w:r>
          </w:p>
        </w:tc>
      </w:tr>
      <w:tr w14:paraId="59C3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5913E746">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财务收费（公用）</w:t>
            </w:r>
          </w:p>
        </w:tc>
        <w:tc>
          <w:tcPr>
            <w:tcW w:w="1691" w:type="dxa"/>
            <w:vAlign w:val="center"/>
          </w:tcPr>
          <w:p w14:paraId="1CAC43E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体检收费</w:t>
            </w:r>
          </w:p>
        </w:tc>
        <w:tc>
          <w:tcPr>
            <w:tcW w:w="6273" w:type="dxa"/>
            <w:vAlign w:val="center"/>
          </w:tcPr>
          <w:p w14:paraId="04688BB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1、支持体检收费功能，支持个人预付费、个人后付费、团体合成收费通知单付费的三种收费模式。</w:t>
            </w:r>
          </w:p>
          <w:p w14:paraId="7CE696C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2、支持个人预付费扫描体检编号快速调取该人预付费未收费信息进行收费。</w:t>
            </w:r>
          </w:p>
          <w:p w14:paraId="2843598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3、支持个人后付费扫描体检编号快速调取该人后付费未收费信息进行收费。</w:t>
            </w:r>
          </w:p>
          <w:p w14:paraId="2CE73BE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4、支持团体扫描收费 通知单号快速调取该通知单的收费信息进行收费。</w:t>
            </w:r>
          </w:p>
          <w:p w14:paraId="45D10D0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5、支持一次多选多人或多笔费用一起结算的功能。</w:t>
            </w:r>
          </w:p>
          <w:p w14:paraId="035B2FE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6、支持发票、收据的多种票据配置模板打印功能。</w:t>
            </w:r>
          </w:p>
          <w:p w14:paraId="5114D01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7、支持根据场景切换打印收费明细或打印合并体检费用。</w:t>
            </w:r>
          </w:p>
          <w:p w14:paraId="698D13F0">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8、支持选择付款方式分类结算，并提供后续分类统计功能。</w:t>
            </w:r>
          </w:p>
        </w:tc>
      </w:tr>
      <w:tr w14:paraId="0D88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51A85B9E">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6FB67EA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通知单管理</w:t>
            </w:r>
          </w:p>
        </w:tc>
        <w:tc>
          <w:tcPr>
            <w:tcW w:w="6273" w:type="dxa"/>
            <w:vAlign w:val="center"/>
          </w:tcPr>
          <w:p w14:paraId="76E64E8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1、支持按企业批量筛选名单，合并打包待结算的后付费费用，生成收费通知单。</w:t>
            </w:r>
          </w:p>
          <w:p w14:paraId="15F23E7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2、支持查询收费通知单列表，管理通知单的结算状态。</w:t>
            </w:r>
          </w:p>
          <w:p w14:paraId="485B4D37">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3、支持打印收费通知单，包括通知单信息、费用明细信息、体检名单明细信息等。</w:t>
            </w:r>
          </w:p>
        </w:tc>
      </w:tr>
      <w:tr w14:paraId="28B6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113FA45C">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6F20FFF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减免管理</w:t>
            </w:r>
          </w:p>
        </w:tc>
        <w:tc>
          <w:tcPr>
            <w:tcW w:w="6273" w:type="dxa"/>
            <w:vAlign w:val="center"/>
          </w:tcPr>
          <w:p w14:paraId="41E3B47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1、支持费用减免管理功能，减免形式包括单项减免、平均减免、折扣减免、金额减免、全免多种减免方式。</w:t>
            </w:r>
          </w:p>
          <w:p w14:paraId="58E4878C">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2、支持标记减免类别，记录减免原因。</w:t>
            </w:r>
          </w:p>
        </w:tc>
      </w:tr>
      <w:tr w14:paraId="3584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23791176">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24E1D98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减免审核</w:t>
            </w:r>
          </w:p>
        </w:tc>
        <w:tc>
          <w:tcPr>
            <w:tcW w:w="6273" w:type="dxa"/>
            <w:vAlign w:val="center"/>
          </w:tcPr>
          <w:p w14:paraId="2950992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1、支持结合实际业务要求开启或关闭减免审核流程。</w:t>
            </w:r>
          </w:p>
          <w:p w14:paraId="5BB37C99">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2、支持减免审核通过或审核驳回，驳回记录驳回原因，提醒减免申请医生查看。</w:t>
            </w:r>
          </w:p>
        </w:tc>
      </w:tr>
      <w:tr w14:paraId="7507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14A98795">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78A33D0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票据管理</w:t>
            </w:r>
          </w:p>
        </w:tc>
        <w:tc>
          <w:tcPr>
            <w:tcW w:w="6273" w:type="dxa"/>
            <w:vAlign w:val="center"/>
          </w:tcPr>
          <w:p w14:paraId="787D04C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1、支持票据信息管理功能，提供票据信息查看及修改功能，可修改票据的号码、缴费抬头、付款方式等信息。</w:t>
            </w:r>
          </w:p>
          <w:p w14:paraId="0F0218E8">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2、支持票据作废功能，填写票据作废原因和费用退回方式。</w:t>
            </w:r>
          </w:p>
        </w:tc>
      </w:tr>
      <w:tr w14:paraId="614F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6DAFC37F">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23C2FC6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到款管理</w:t>
            </w:r>
          </w:p>
        </w:tc>
        <w:tc>
          <w:tcPr>
            <w:tcW w:w="6273" w:type="dxa"/>
            <w:vAlign w:val="center"/>
          </w:tcPr>
          <w:p w14:paraId="0F9D0EE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1、支持付款方式设定是否是即时到账类，当体检收费时付款方式选择的是非即时到账类时，该笔票据自动进入到款管理环节，财务管理人员可管理此类票据的到账情况。</w:t>
            </w:r>
          </w:p>
          <w:p w14:paraId="0E4AD84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2、支持财务管理人员结合到账情况为票据进行到账登记，体检流程自动结算。</w:t>
            </w:r>
          </w:p>
        </w:tc>
      </w:tr>
      <w:tr w14:paraId="38CF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3B9E412F">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科室检查（公用）</w:t>
            </w:r>
          </w:p>
        </w:tc>
        <w:tc>
          <w:tcPr>
            <w:tcW w:w="1691" w:type="dxa"/>
            <w:vAlign w:val="center"/>
          </w:tcPr>
          <w:p w14:paraId="50FB1C0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体检采样</w:t>
            </w:r>
          </w:p>
        </w:tc>
        <w:tc>
          <w:tcPr>
            <w:tcW w:w="6273" w:type="dxa"/>
            <w:vAlign w:val="center"/>
          </w:tcPr>
          <w:p w14:paraId="4016AD0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支持采血、采尿、采便等不同类型的采集功能。</w:t>
            </w:r>
          </w:p>
          <w:p w14:paraId="3FF0FC7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2、支持扫描体检编号快速调出体检人员的个人信息和当前采集信息。</w:t>
            </w:r>
          </w:p>
          <w:p w14:paraId="5ED1087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3、支持人脸核验设备集成采集处核对体检人员身份信息，标识替检。</w:t>
            </w:r>
          </w:p>
          <w:p w14:paraId="5CE6D22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4、支持扫码后自动打印试管或检查条码。</w:t>
            </w:r>
          </w:p>
          <w:p w14:paraId="330C6EF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5、样本采样支持绑定试管功能，调出体检人员待采样信息后，扫描试管出厂编号自动绑定信息，减少条码纸张的浪费。</w:t>
            </w:r>
          </w:p>
          <w:p w14:paraId="670E456A">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6、支持采集管数、采集管颜色、采集状态的提醒。</w:t>
            </w:r>
          </w:p>
        </w:tc>
      </w:tr>
      <w:tr w14:paraId="10D8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408DB9E3">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32ADBB1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采集流转单汇总</w:t>
            </w:r>
          </w:p>
        </w:tc>
        <w:tc>
          <w:tcPr>
            <w:tcW w:w="6273" w:type="dxa"/>
            <w:vAlign w:val="center"/>
          </w:tcPr>
          <w:p w14:paraId="047128E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支持根据采集类型、采集日期、采集人员等条件筛选采集信息生成交接用的采集流转单。</w:t>
            </w:r>
          </w:p>
          <w:p w14:paraId="33566568">
            <w:pPr>
              <w:widowControl w:val="0"/>
              <w:spacing w:line="360" w:lineRule="auto"/>
              <w:jc w:val="both"/>
              <w:rPr>
                <w:rFonts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2、采集信息支持名单导出，支持采集流转单的报表打印。</w:t>
            </w:r>
          </w:p>
        </w:tc>
      </w:tr>
      <w:tr w14:paraId="646B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47CE799">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5F679FB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单科检查</w:t>
            </w:r>
          </w:p>
        </w:tc>
        <w:tc>
          <w:tcPr>
            <w:tcW w:w="6273" w:type="dxa"/>
            <w:shd w:val="clear" w:color="auto" w:fill="auto"/>
            <w:vAlign w:val="center"/>
          </w:tcPr>
          <w:p w14:paraId="32C6573F">
            <w:pPr>
              <w:widowControl/>
              <w:spacing w:line="360" w:lineRule="auto"/>
              <w:jc w:val="left"/>
              <w:rPr>
                <w:rFonts w:ascii="宋体" w:hAnsi="宋体" w:eastAsia="宋体" w:cs="Times New Roman"/>
                <w:color w:val="000000"/>
                <w:kern w:val="2"/>
                <w:sz w:val="24"/>
                <w:szCs w:val="24"/>
              </w:rPr>
            </w:pPr>
            <w:r>
              <w:rPr>
                <w:rFonts w:ascii="宋体" w:hAnsi="宋体" w:eastAsia="宋体" w:cs="Times New Roman"/>
                <w:color w:val="000000"/>
                <w:kern w:val="2"/>
                <w:sz w:val="24"/>
                <w:szCs w:val="24"/>
              </w:rPr>
              <w:t>1、</w:t>
            </w:r>
            <w:r>
              <w:rPr>
                <w:rFonts w:hint="eastAsia" w:ascii="宋体" w:hAnsi="宋体" w:eastAsia="宋体" w:cs="Times New Roman"/>
                <w:color w:val="000000"/>
                <w:kern w:val="2"/>
                <w:sz w:val="24"/>
                <w:szCs w:val="24"/>
              </w:rPr>
              <w:t>支持通过条型码扫描快速查找到受检人员信息。</w:t>
            </w:r>
          </w:p>
          <w:p w14:paraId="2F99006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2、支持照片或者人脸核验摄像头对受检者人员身份识别。</w:t>
            </w:r>
          </w:p>
          <w:p w14:paraId="2B58E50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3、支持根据医生专业授权开展科室检查的权限控制，根据质控管理要求，控制医生修改结论的权限。</w:t>
            </w:r>
          </w:p>
          <w:p w14:paraId="0715A3C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4、支持科室项目阴性结果默认、异常结果快速选择模板录入，支持异常结果自由组合选择录入或者人工填写结果描述。</w:t>
            </w:r>
          </w:p>
          <w:p w14:paraId="037196D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5、支持定量项目结果根据参考范围值自动判定偏高、偏低，自动生成科室结论，定量类项目依据可录入范围值的设定控制医生可录入的数值，保证体检检项结果的准确性。</w:t>
            </w:r>
          </w:p>
          <w:p w14:paraId="181D5F3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6、支持体检项目依据判定标准自动标记阴阳性，依据系统自动判定或者人工标记的重大阳性结果，分为A类异常或者B类异常，提供检查医生重大异常确认环节。</w:t>
            </w:r>
          </w:p>
          <w:p w14:paraId="4054C4E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7</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支持受检者历史异常结果主动提醒，支持调阅受检者历史体检记录，横向展示受检者各科室检项结果的变化趋势，调阅受检者历史主检、历史问诊信息。</w:t>
            </w:r>
          </w:p>
          <w:p w14:paraId="19F3F97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8</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支持检查科室结果协调共享调阅功能，支持关注科室、重大异常科室醒目提醒功能。</w:t>
            </w:r>
          </w:p>
          <w:p w14:paraId="0E2B84B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9</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支持检查缺检标识以及缺检原因登记，支持检查延期标识以及延期日期、延期原因登记。</w:t>
            </w:r>
          </w:p>
          <w:p w14:paraId="60696C5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10、支持计算类项目，如BMI等在录入项目结果后自动计算的功能。</w:t>
            </w:r>
          </w:p>
          <w:p w14:paraId="447D5B2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11、支持以日期查询本科室未检人员及已检人员以掌握当天工作进度。</w:t>
            </w:r>
          </w:p>
          <w:p w14:paraId="298CAE0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12、支持检中加项业务，授权医生检查工作开展过程中根据受检者体检情况现场加项业务功能，并支持检中加项工作量统计功能。</w:t>
            </w:r>
          </w:p>
          <w:p w14:paraId="63EB1016">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13、支持已提交流程的检查，撤销科室检查流程的功能，提醒操作医生是清空检查结果还是保留检查结果，提供参数控制是否只允许检查提交医生来进行撤销操作。</w:t>
            </w:r>
          </w:p>
        </w:tc>
      </w:tr>
      <w:tr w14:paraId="7FEA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7F815134">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0350878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电测听检查</w:t>
            </w:r>
          </w:p>
        </w:tc>
        <w:tc>
          <w:tcPr>
            <w:tcW w:w="6273" w:type="dxa"/>
            <w:shd w:val="clear" w:color="auto" w:fill="auto"/>
            <w:vAlign w:val="center"/>
          </w:tcPr>
          <w:p w14:paraId="289F907E">
            <w:pPr>
              <w:widowControl/>
              <w:spacing w:line="360" w:lineRule="auto"/>
              <w:jc w:val="left"/>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1、支持对接电测听仪器设备或工作站，采集测听结果至体检系统。</w:t>
            </w:r>
          </w:p>
          <w:p w14:paraId="13FDE939">
            <w:pPr>
              <w:widowControl/>
              <w:spacing w:line="360" w:lineRule="auto"/>
              <w:jc w:val="left"/>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2、依据内置的计算规则自动标记掩蔽、无反应情况。</w:t>
            </w:r>
          </w:p>
          <w:p w14:paraId="74B919C0">
            <w:pPr>
              <w:widowControl/>
              <w:spacing w:line="360" w:lineRule="auto"/>
              <w:jc w:val="left"/>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3、自动计算语频、高频、加权的计算项目。</w:t>
            </w:r>
          </w:p>
          <w:p w14:paraId="4FED53F5">
            <w:pPr>
              <w:widowControl/>
              <w:spacing w:line="360" w:lineRule="auto"/>
              <w:jc w:val="left"/>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4、根据电测听结论生成规则配置自动综合分析电测听的检查结论。</w:t>
            </w:r>
          </w:p>
        </w:tc>
      </w:tr>
      <w:tr w14:paraId="1A7E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3260A35E">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6F6AFB2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图文检查</w:t>
            </w:r>
          </w:p>
        </w:tc>
        <w:tc>
          <w:tcPr>
            <w:tcW w:w="6273" w:type="dxa"/>
            <w:shd w:val="clear" w:color="auto" w:fill="auto"/>
            <w:vAlign w:val="center"/>
          </w:tcPr>
          <w:p w14:paraId="1AA95CC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支持设定图文类检查科室，并为医生授权可录入的图文科室。</w:t>
            </w:r>
          </w:p>
          <w:p w14:paraId="5B86CE9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2、支持通过条型码扫描快速查找到受检人员信息和当前图文科室的检查部位信息。</w:t>
            </w:r>
          </w:p>
          <w:p w14:paraId="1073381D">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3、支持检查部位以检查描述、检查结论模式进行录入，提供丰富的图文描述模版供医生快速选择录入，描述模板支持部位选择功能。</w:t>
            </w:r>
          </w:p>
        </w:tc>
      </w:tr>
      <w:tr w14:paraId="102D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1B205136">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157C535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单科复核</w:t>
            </w:r>
          </w:p>
        </w:tc>
        <w:tc>
          <w:tcPr>
            <w:tcW w:w="6273" w:type="dxa"/>
            <w:shd w:val="clear" w:color="auto" w:fill="auto"/>
            <w:vAlign w:val="center"/>
          </w:tcPr>
          <w:p w14:paraId="2B31137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1、支持体检结果复核流程设置，开启审核环节的体检科室，在科室检查提交后自动进入待审核流程，需审核医生进行审核后方可进入主检环节。</w:t>
            </w:r>
          </w:p>
          <w:p w14:paraId="08867FE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2、支持检查医生与复核医生互斥，不可为同一人。</w:t>
            </w:r>
          </w:p>
          <w:p w14:paraId="5B37E1E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3、支持授权审核环节修改功能，审核医生结合专业判断，修改结果及结论信息。</w:t>
            </w:r>
          </w:p>
          <w:p w14:paraId="5EFD4C6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4、支持审核退回功能，填写退回原因，提醒科室检查医生查看并修改重新提交。</w:t>
            </w:r>
          </w:p>
          <w:p w14:paraId="4B13BC5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5、支持批量审核通过功能。</w:t>
            </w:r>
          </w:p>
          <w:p w14:paraId="23FB0CA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6、支持审核过程中查看体检人员体检流程和各科室检查情况信息。</w:t>
            </w:r>
          </w:p>
          <w:p w14:paraId="30715D7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7、支持审核过程中体检人员存在历史异常结果主动提醒，调阅受检者历史体检记录，横向展示受检者各科室检项结果的变化趋势，调阅受检者历史主检、历史问诊信息。</w:t>
            </w:r>
          </w:p>
        </w:tc>
      </w:tr>
      <w:tr w14:paraId="3361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18A17394">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1AF4626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电测听复核</w:t>
            </w:r>
          </w:p>
        </w:tc>
        <w:tc>
          <w:tcPr>
            <w:tcW w:w="6273" w:type="dxa"/>
            <w:shd w:val="clear" w:color="auto" w:fill="auto"/>
            <w:vAlign w:val="center"/>
          </w:tcPr>
          <w:p w14:paraId="1BCE76B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1、支持为电测听检查设置复核流程，开启审核环节的电测听检查，在电测听检查提交后自动进入待审核流程，需审核医生进行审核后方可进入主检环节。</w:t>
            </w:r>
          </w:p>
          <w:p w14:paraId="21299EB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2、电测听复核环节支持查看体检人员的测听结果、测听图谱、综合结论等信息。</w:t>
            </w:r>
          </w:p>
          <w:p w14:paraId="67A18EF4">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3、支持检查医生与复核医生互斥，不可为同一人。</w:t>
            </w:r>
          </w:p>
          <w:p w14:paraId="584E6E3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4、支持授权审核环节修改功能，审核医生结合专业判断，修改结果及结论信息。</w:t>
            </w:r>
          </w:p>
          <w:p w14:paraId="583E139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5、支持审核退回功能，填写退回原因，提醒科室检查医生查看并修改重新提交。</w:t>
            </w:r>
          </w:p>
          <w:p w14:paraId="0EC5775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6、支持批量审核通过功能。</w:t>
            </w:r>
          </w:p>
          <w:p w14:paraId="66BC6DD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7、支持审核过程中查看体检人员体检流程和各科室检查情况信息。</w:t>
            </w:r>
          </w:p>
          <w:p w14:paraId="694F443C">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8、支持审核过程中体检人员存在历史异常结果主动提醒，调阅受检者历史体检记录，横向展示受检者各科室检项结果的变化趋势，调阅受检者历史主检、历史问诊信息。</w:t>
            </w:r>
          </w:p>
        </w:tc>
      </w:tr>
      <w:tr w14:paraId="73DB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77C2FDE">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3BD93B7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图文复核</w:t>
            </w:r>
          </w:p>
        </w:tc>
        <w:tc>
          <w:tcPr>
            <w:tcW w:w="6273" w:type="dxa"/>
            <w:shd w:val="clear" w:color="auto" w:fill="auto"/>
            <w:vAlign w:val="center"/>
          </w:tcPr>
          <w:p w14:paraId="743721F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1、支持为图文检查科室设置复核流程，开启审核环节的图文检查科室，在检查提交后自动进入待审核流程，需审核医生进行审核后方可进入主检环节。</w:t>
            </w:r>
          </w:p>
          <w:p w14:paraId="67972F8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2、复核环节支持查看体检人员的图文检查结果、图像信息等信息。</w:t>
            </w:r>
          </w:p>
          <w:p w14:paraId="2589D738">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3、支持检查医生与复核医生互斥，不可为同一人。</w:t>
            </w:r>
          </w:p>
          <w:p w14:paraId="2E672E3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4、支持授权审核环节修改功能，审核医生结合专业判断，修改结果及结论信息。</w:t>
            </w:r>
          </w:p>
          <w:p w14:paraId="6DA4E41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5、支持审核退回功能，填写退回原因，提醒科室检查医生查看并修改重新提交。</w:t>
            </w:r>
          </w:p>
          <w:p w14:paraId="06E01F9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6、支持批量审核通过功能。</w:t>
            </w:r>
          </w:p>
          <w:p w14:paraId="442832C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7、支持审核过程中查看体检人员体检流程和各科室检查情况信息。</w:t>
            </w:r>
          </w:p>
          <w:p w14:paraId="2B3B980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8、支持审核过程中体检人员存在历史异常结果主动提醒，调阅受检者历史体检记录，横向展示受检者各科室检项结果的变化趋势，调阅受检者历史主检、历史问诊信息。</w:t>
            </w:r>
          </w:p>
        </w:tc>
      </w:tr>
      <w:tr w14:paraId="62CC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51A47C95">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4DE6629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批量结果录入</w:t>
            </w:r>
          </w:p>
        </w:tc>
        <w:tc>
          <w:tcPr>
            <w:tcW w:w="6273" w:type="dxa"/>
            <w:shd w:val="clear" w:color="auto" w:fill="auto"/>
            <w:vAlign w:val="center"/>
          </w:tcPr>
          <w:p w14:paraId="7E0A79F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支持多科室批量结果录入功能。</w:t>
            </w:r>
          </w:p>
          <w:p w14:paraId="014A2A86">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2、支持批量合格人员一键全选提交功能。</w:t>
            </w:r>
          </w:p>
          <w:p w14:paraId="6471392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支持EXCEL表格批量导入结果功能。</w:t>
            </w:r>
          </w:p>
          <w:p w14:paraId="1502304B">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4、支持批量撤销科室检查功能。</w:t>
            </w:r>
          </w:p>
        </w:tc>
      </w:tr>
      <w:tr w14:paraId="0648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457F77B">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6D81333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体检收表</w:t>
            </w:r>
          </w:p>
        </w:tc>
        <w:tc>
          <w:tcPr>
            <w:tcW w:w="6273" w:type="dxa"/>
            <w:shd w:val="clear" w:color="auto" w:fill="auto"/>
            <w:vAlign w:val="center"/>
          </w:tcPr>
          <w:p w14:paraId="33E19BD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1、支持受检者体检科室流程状态实时查询，提供未完成检查流程的科室标识拒检、延期状态。</w:t>
            </w:r>
          </w:p>
          <w:p w14:paraId="3864DC6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2、支持对于受检者联系人信息进行补充更新。</w:t>
            </w:r>
          </w:p>
          <w:p w14:paraId="1F2DAA0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3、支持对接高拍仪设备记录受检者文件资料影像信息。</w:t>
            </w:r>
          </w:p>
        </w:tc>
      </w:tr>
      <w:tr w14:paraId="0604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14:paraId="60CF8E28">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科室检查（福利）</w:t>
            </w:r>
          </w:p>
        </w:tc>
        <w:tc>
          <w:tcPr>
            <w:tcW w:w="1691" w:type="dxa"/>
            <w:shd w:val="clear" w:color="auto" w:fill="auto"/>
            <w:vAlign w:val="center"/>
          </w:tcPr>
          <w:p w14:paraId="167FE1BA">
            <w:pPr>
              <w:widowControl/>
              <w:spacing w:line="360" w:lineRule="auto"/>
              <w:rPr>
                <w:rFonts w:ascii="宋体" w:hAnsi="宋体" w:eastAsia="宋体" w:cs="宋体"/>
                <w:kern w:val="2"/>
                <w:sz w:val="24"/>
                <w:szCs w:val="20"/>
                <w:lang w:bidi="zh-CN"/>
              </w:rPr>
            </w:pPr>
            <w:r>
              <w:rPr>
                <w:rFonts w:hint="eastAsia" w:ascii="宋体" w:hAnsi="宋体" w:eastAsia="宋体" w:cs="Times New Roman"/>
                <w:color w:val="000000"/>
                <w:kern w:val="2"/>
                <w:sz w:val="24"/>
                <w:szCs w:val="24"/>
              </w:rPr>
              <w:t>健康问卷</w:t>
            </w:r>
          </w:p>
        </w:tc>
        <w:tc>
          <w:tcPr>
            <w:tcW w:w="6273" w:type="dxa"/>
            <w:shd w:val="clear" w:color="auto" w:fill="auto"/>
            <w:vAlign w:val="center"/>
          </w:tcPr>
          <w:p w14:paraId="4AAA4A2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1、根据为体检人员登记的健康问卷，实现面对面健康问诊的功能。</w:t>
            </w:r>
          </w:p>
          <w:p w14:paraId="0825A5E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2、支持查看当前体检人员体检流程状态信息。</w:t>
            </w:r>
          </w:p>
          <w:p w14:paraId="2D64F879">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3、支持查看当前体检人员历史体检档案信息。</w:t>
            </w:r>
          </w:p>
        </w:tc>
      </w:tr>
      <w:tr w14:paraId="7700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2508275D">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科室检查（公卫）</w:t>
            </w:r>
          </w:p>
        </w:tc>
        <w:tc>
          <w:tcPr>
            <w:tcW w:w="1691" w:type="dxa"/>
            <w:shd w:val="clear" w:color="auto" w:fill="auto"/>
            <w:vAlign w:val="center"/>
          </w:tcPr>
          <w:p w14:paraId="59151D4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单科检查</w:t>
            </w:r>
          </w:p>
        </w:tc>
        <w:tc>
          <w:tcPr>
            <w:tcW w:w="6273" w:type="dxa"/>
            <w:shd w:val="clear" w:color="auto" w:fill="auto"/>
            <w:vAlign w:val="center"/>
          </w:tcPr>
          <w:p w14:paraId="39CD5A0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1、支持按《国家基本公共卫生服务规范第三版》要求，检项设定录入模式，支持指定异常描述选择。</w:t>
            </w:r>
          </w:p>
        </w:tc>
      </w:tr>
      <w:tr w14:paraId="3D5F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1E67D582">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26CD31D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公卫问诊</w:t>
            </w:r>
          </w:p>
        </w:tc>
        <w:tc>
          <w:tcPr>
            <w:tcW w:w="6273" w:type="dxa"/>
            <w:shd w:val="clear" w:color="auto" w:fill="auto"/>
            <w:vAlign w:val="center"/>
          </w:tcPr>
          <w:p w14:paraId="7F9EFA3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1、支持按《国家基本公共卫生服务规范 第三版》要求开展问询。</w:t>
            </w:r>
          </w:p>
          <w:p w14:paraId="152E671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2、支持记录受检者一般状况、生活方式、现存主要问题。</w:t>
            </w:r>
          </w:p>
          <w:p w14:paraId="3C8133A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3、支持记录受检者住院治疗情况、主要用药情况。</w:t>
            </w:r>
          </w:p>
          <w:p w14:paraId="4A6FD38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4、支持记录受检者非免疫规划预防接种史。</w:t>
            </w:r>
          </w:p>
          <w:p w14:paraId="7BAFE09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5、支持历史问诊信息一键导入应用。</w:t>
            </w:r>
          </w:p>
          <w:p w14:paraId="07683EC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6、支持查看当前体检人员体检流程状态信息。</w:t>
            </w:r>
          </w:p>
          <w:p w14:paraId="46246CD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7、支持查看当前体检人员历史体检档案信息。</w:t>
            </w:r>
          </w:p>
        </w:tc>
      </w:tr>
      <w:tr w14:paraId="7D7C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226" w:type="dxa"/>
            <w:vMerge w:val="restart"/>
            <w:vAlign w:val="center"/>
          </w:tcPr>
          <w:p w14:paraId="547FCE02">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检后管理（福利）</w:t>
            </w:r>
          </w:p>
        </w:tc>
        <w:tc>
          <w:tcPr>
            <w:tcW w:w="1691" w:type="dxa"/>
            <w:shd w:val="clear" w:color="auto" w:fill="auto"/>
            <w:vAlign w:val="center"/>
          </w:tcPr>
          <w:p w14:paraId="1F1C6B6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检后随访</w:t>
            </w:r>
          </w:p>
        </w:tc>
        <w:tc>
          <w:tcPr>
            <w:tcW w:w="6273" w:type="dxa"/>
            <w:shd w:val="clear" w:color="auto" w:fill="auto"/>
            <w:vAlign w:val="center"/>
          </w:tcPr>
          <w:p w14:paraId="53A4941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1、支持系统在科室检查环节、医技系统对接抓取、总检判断的数据，根据系统内置规则自动标记重大异常指标数据，分为A类及B类分级，列入待随访任务列表，并进行警报。</w:t>
            </w:r>
          </w:p>
          <w:p w14:paraId="049A6B2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2、支持对指定指标异常范围进行筛选，人工列入随访任务列表功能。</w:t>
            </w:r>
          </w:p>
          <w:p w14:paraId="7C0613B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3、支持随访医生根据任务列表逐一处理随访任务，过程中可查阅体检人员历史体检档案，包括健康档案信息、体检记录、随访记录等。</w:t>
            </w:r>
          </w:p>
          <w:p w14:paraId="12C42DF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4、针对无需处理的任务可一键处置为无需随访，需进行随访的任务可建立随访计划，支持结合实际情况建立多次随访计划。</w:t>
            </w:r>
          </w:p>
          <w:p w14:paraId="6CEFF38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5、支持以日历任务形式提醒工作人员处理随访任务。</w:t>
            </w:r>
          </w:p>
          <w:p w14:paraId="38FB4D3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6、支持以短信、电联等方式进行随访，记录随访内容，可追溯随访历史。</w:t>
            </w:r>
          </w:p>
          <w:p w14:paraId="4D3197A5">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7、支持随访工作量统计功能。</w:t>
            </w:r>
          </w:p>
        </w:tc>
      </w:tr>
      <w:tr w14:paraId="4244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26" w:type="dxa"/>
            <w:vMerge w:val="continue"/>
            <w:vAlign w:val="center"/>
          </w:tcPr>
          <w:p w14:paraId="5D81AC57">
            <w:pPr>
              <w:widowControl/>
              <w:spacing w:line="360" w:lineRule="auto"/>
              <w:rPr>
                <w:rFonts w:ascii="宋体" w:hAnsi="宋体" w:eastAsia="宋体" w:cs="Times New Roman"/>
                <w:color w:val="000000"/>
                <w:kern w:val="2"/>
                <w:sz w:val="24"/>
                <w:szCs w:val="24"/>
              </w:rPr>
            </w:pPr>
          </w:p>
        </w:tc>
        <w:tc>
          <w:tcPr>
            <w:tcW w:w="1691" w:type="dxa"/>
            <w:shd w:val="clear" w:color="auto" w:fill="auto"/>
            <w:vAlign w:val="center"/>
          </w:tcPr>
          <w:p w14:paraId="1B4BE71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短信通知</w:t>
            </w:r>
          </w:p>
        </w:tc>
        <w:tc>
          <w:tcPr>
            <w:tcW w:w="6273" w:type="dxa"/>
            <w:shd w:val="clear" w:color="auto" w:fill="auto"/>
            <w:vAlign w:val="center"/>
          </w:tcPr>
          <w:p w14:paraId="2F61723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1、支持提供短信平台，提供批量筛选名单，批量发送短信的功能。</w:t>
            </w:r>
          </w:p>
          <w:p w14:paraId="403B6BC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2、支持发送复检通知、预检通知、报告领取通知，禁忌证通知、疑似职业病通知等多种通知类型。</w:t>
            </w:r>
          </w:p>
          <w:p w14:paraId="3B49CC89">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3、支持设定定时发布任务，自动发送短信通知。</w:t>
            </w:r>
          </w:p>
        </w:tc>
      </w:tr>
      <w:tr w14:paraId="4E8E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26" w:type="dxa"/>
            <w:vMerge w:val="continue"/>
            <w:vAlign w:val="center"/>
          </w:tcPr>
          <w:p w14:paraId="0F044266">
            <w:pPr>
              <w:widowControl/>
              <w:spacing w:line="360" w:lineRule="auto"/>
              <w:rPr>
                <w:rFonts w:ascii="宋体" w:hAnsi="宋体" w:eastAsia="宋体" w:cs="Times New Roman"/>
                <w:color w:val="000000"/>
                <w:kern w:val="2"/>
                <w:sz w:val="24"/>
                <w:szCs w:val="24"/>
              </w:rPr>
            </w:pPr>
          </w:p>
        </w:tc>
        <w:tc>
          <w:tcPr>
            <w:tcW w:w="1691" w:type="dxa"/>
            <w:shd w:val="clear" w:color="auto" w:fill="auto"/>
            <w:vAlign w:val="center"/>
          </w:tcPr>
          <w:p w14:paraId="2ABAC19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短信模板配置</w:t>
            </w:r>
          </w:p>
        </w:tc>
        <w:tc>
          <w:tcPr>
            <w:tcW w:w="6273" w:type="dxa"/>
            <w:shd w:val="clear" w:color="auto" w:fill="auto"/>
            <w:vAlign w:val="center"/>
          </w:tcPr>
          <w:p w14:paraId="2246869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1、支持为不同的通知类型设置预设的模版。</w:t>
            </w:r>
          </w:p>
          <w:p w14:paraId="7E9CB244">
            <w:pPr>
              <w:widowControl w:val="0"/>
              <w:spacing w:line="360" w:lineRule="auto"/>
              <w:jc w:val="both"/>
              <w:rPr>
                <w:rFonts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2、支持姓名、日期、结果等不同元素供模板设置使用。</w:t>
            </w:r>
          </w:p>
        </w:tc>
      </w:tr>
      <w:tr w14:paraId="39C8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26" w:type="dxa"/>
            <w:vMerge w:val="restart"/>
            <w:vAlign w:val="center"/>
          </w:tcPr>
          <w:p w14:paraId="3402161C">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主检判断（福利）</w:t>
            </w:r>
          </w:p>
        </w:tc>
        <w:tc>
          <w:tcPr>
            <w:tcW w:w="1691" w:type="dxa"/>
            <w:shd w:val="clear" w:color="auto" w:fill="auto"/>
            <w:vAlign w:val="center"/>
          </w:tcPr>
          <w:p w14:paraId="51629FF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福利主检判断</w:t>
            </w:r>
          </w:p>
        </w:tc>
        <w:tc>
          <w:tcPr>
            <w:tcW w:w="6273" w:type="dxa"/>
            <w:shd w:val="clear" w:color="auto" w:fill="auto"/>
            <w:vAlign w:val="center"/>
          </w:tcPr>
          <w:p w14:paraId="11EBCE4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支持受检者体检情况自动进行人群分类，支持检项全部合格人员批量主检提交功能。</w:t>
            </w:r>
          </w:p>
          <w:p w14:paraId="0DE4513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2、支持受检者本次体检详情、历史检查结果横向对比查阅，历史异常受检者主动提醒，支持查看受检者历史主检、历史问诊信息。</w:t>
            </w:r>
          </w:p>
          <w:p w14:paraId="0FDCDD04">
            <w:pPr>
              <w:widowControl/>
              <w:spacing w:line="360" w:lineRule="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rPr>
              <w:t>3、支持心电图、超声等影像检查图像查阅</w:t>
            </w:r>
            <w:r>
              <w:rPr>
                <w:rFonts w:hint="eastAsia" w:ascii="宋体" w:hAnsi="宋体" w:eastAsia="宋体" w:cs="Times New Roman"/>
                <w:color w:val="000000"/>
                <w:kern w:val="2"/>
                <w:sz w:val="24"/>
                <w:szCs w:val="24"/>
                <w:lang w:eastAsia="zh-CN"/>
              </w:rPr>
              <w:t>。</w:t>
            </w:r>
          </w:p>
          <w:p w14:paraId="0A29F8A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4、</w:t>
            </w:r>
            <w:r>
              <w:rPr>
                <w:rFonts w:hint="eastAsia" w:ascii="宋体" w:hAnsi="宋体" w:eastAsia="宋体" w:cs="Times New Roman"/>
                <w:color w:val="000000"/>
                <w:kern w:val="2"/>
                <w:sz w:val="24"/>
                <w:szCs w:val="24"/>
              </w:rPr>
              <w:t>支持预览体检报告。</w:t>
            </w:r>
          </w:p>
          <w:p w14:paraId="708ADD7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5</w:t>
            </w:r>
            <w:r>
              <w:rPr>
                <w:rFonts w:hint="eastAsia" w:ascii="宋体" w:hAnsi="宋体" w:eastAsia="宋体" w:cs="Times New Roman"/>
                <w:color w:val="000000"/>
                <w:kern w:val="2"/>
                <w:sz w:val="24"/>
                <w:szCs w:val="24"/>
              </w:rPr>
              <w:t>、支持主检锁定功能，可将选定的体检记录锁定并加入当前账户的个人待检池中。一旦体检记录进入个人待检池，其他主检医生将无法进行操作。</w:t>
            </w:r>
          </w:p>
          <w:p w14:paraId="09E8677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6</w:t>
            </w:r>
            <w:r>
              <w:rPr>
                <w:rFonts w:hint="eastAsia" w:ascii="宋体" w:hAnsi="宋体" w:eastAsia="宋体" w:cs="Times New Roman"/>
                <w:color w:val="000000"/>
                <w:kern w:val="2"/>
                <w:sz w:val="24"/>
                <w:szCs w:val="24"/>
              </w:rPr>
              <w:t>、支持根据检项异常信息智能分析疾病及健康建议。</w:t>
            </w:r>
          </w:p>
          <w:p w14:paraId="2FC0BA5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7</w:t>
            </w:r>
            <w:r>
              <w:rPr>
                <w:rFonts w:hint="eastAsia" w:ascii="宋体" w:hAnsi="宋体" w:eastAsia="宋体" w:cs="Times New Roman"/>
                <w:color w:val="000000"/>
                <w:kern w:val="2"/>
                <w:sz w:val="24"/>
                <w:szCs w:val="24"/>
              </w:rPr>
              <w:t>、支持“一元化”疾病自动合并分析功能。</w:t>
            </w:r>
          </w:p>
          <w:p w14:paraId="24C6575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8</w:t>
            </w:r>
            <w:r>
              <w:rPr>
                <w:rFonts w:hint="eastAsia" w:ascii="宋体" w:hAnsi="宋体" w:eastAsia="宋体" w:cs="Times New Roman"/>
                <w:color w:val="000000"/>
                <w:kern w:val="2"/>
                <w:sz w:val="24"/>
                <w:szCs w:val="24"/>
              </w:rPr>
              <w:t>、支持根据检项异常程度分级生成对应健康建议功能</w:t>
            </w: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支持多异常联合分析疾病功能。</w:t>
            </w:r>
          </w:p>
          <w:p w14:paraId="6BEC18E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9</w:t>
            </w:r>
            <w:r>
              <w:rPr>
                <w:rFonts w:hint="eastAsia" w:ascii="宋体" w:hAnsi="宋体" w:eastAsia="宋体" w:cs="Times New Roman"/>
                <w:color w:val="000000"/>
                <w:kern w:val="2"/>
                <w:sz w:val="24"/>
                <w:szCs w:val="24"/>
              </w:rPr>
              <w:t>、支持根据检项异常情况，判断是否需要进一步复查，提供需复查人员的复检项目、复查时间要求设定功能。</w:t>
            </w:r>
          </w:p>
          <w:p w14:paraId="40ED678B">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lang w:val="en-US" w:eastAsia="zh-CN"/>
              </w:rPr>
              <w:t>10</w:t>
            </w:r>
            <w:r>
              <w:rPr>
                <w:rFonts w:hint="eastAsia" w:ascii="宋体" w:hAnsi="宋体" w:eastAsia="宋体" w:cs="Times New Roman"/>
                <w:color w:val="000000"/>
                <w:kern w:val="2"/>
                <w:sz w:val="24"/>
                <w:szCs w:val="24"/>
              </w:rPr>
              <w:t>、支持健康建议常用语的快速调用功能。</w:t>
            </w:r>
          </w:p>
        </w:tc>
      </w:tr>
      <w:tr w14:paraId="3323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26" w:type="dxa"/>
            <w:vMerge w:val="continue"/>
            <w:vAlign w:val="center"/>
          </w:tcPr>
          <w:p w14:paraId="3781E288">
            <w:pPr>
              <w:widowControl/>
              <w:spacing w:line="360" w:lineRule="auto"/>
              <w:jc w:val="center"/>
              <w:rPr>
                <w:rFonts w:ascii="宋体" w:hAnsi="宋体" w:eastAsia="宋体" w:cs="Times New Roman"/>
                <w:color w:val="000000"/>
                <w:kern w:val="2"/>
                <w:sz w:val="24"/>
                <w:szCs w:val="24"/>
              </w:rPr>
            </w:pPr>
          </w:p>
        </w:tc>
        <w:tc>
          <w:tcPr>
            <w:tcW w:w="1691" w:type="dxa"/>
            <w:shd w:val="clear" w:color="auto" w:fill="auto"/>
            <w:vAlign w:val="center"/>
          </w:tcPr>
          <w:p w14:paraId="49F2A2F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福利主检审核</w:t>
            </w:r>
          </w:p>
        </w:tc>
        <w:tc>
          <w:tcPr>
            <w:tcW w:w="6273" w:type="dxa"/>
            <w:shd w:val="clear" w:color="auto" w:fill="auto"/>
            <w:vAlign w:val="center"/>
          </w:tcPr>
          <w:p w14:paraId="12BCA86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1、支持福利主检审核流程的开启，开启后经主检审核后方可出具报告。</w:t>
            </w:r>
          </w:p>
          <w:p w14:paraId="62ADBCE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2、支持主检审核通过或经审核后退回，记录退回原因并提醒主检医生重新主检。</w:t>
            </w:r>
          </w:p>
          <w:p w14:paraId="23B596A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3、支持受检者本次体检详情、主检详情、历史检查结果横向对比查阅，历史异常受检者主动提醒，支持查看受检者历史主检、历史问诊信息。</w:t>
            </w:r>
          </w:p>
          <w:p w14:paraId="540E30D7">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4、支持心电图、超声等影像检查图像查阅</w:t>
            </w: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支持预览体检报告。</w:t>
            </w:r>
          </w:p>
        </w:tc>
      </w:tr>
      <w:tr w14:paraId="1F80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26" w:type="dxa"/>
            <w:vAlign w:val="center"/>
          </w:tcPr>
          <w:p w14:paraId="4E779613">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主检判断（公卫）</w:t>
            </w:r>
          </w:p>
        </w:tc>
        <w:tc>
          <w:tcPr>
            <w:tcW w:w="1691" w:type="dxa"/>
            <w:shd w:val="clear" w:color="auto" w:fill="auto"/>
            <w:vAlign w:val="center"/>
          </w:tcPr>
          <w:p w14:paraId="4A9151C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公卫主检判断</w:t>
            </w:r>
          </w:p>
        </w:tc>
        <w:tc>
          <w:tcPr>
            <w:tcW w:w="6273" w:type="dxa"/>
            <w:shd w:val="clear" w:color="auto" w:fill="auto"/>
            <w:vAlign w:val="center"/>
          </w:tcPr>
          <w:p w14:paraId="4352462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支持受检者体检情况自动进行人群分类，支持检项全部合格人员批量主检提交功能。</w:t>
            </w:r>
          </w:p>
          <w:p w14:paraId="3FDDA4D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2、支持受检者本次体检详情、历史检查结果横向对比查阅，历史异常受检者主动提醒，支持查看受检者历史主检、历史问诊信息。</w:t>
            </w:r>
          </w:p>
          <w:p w14:paraId="53E3F51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3、支持心电图、超声等影像检查图像查阅</w:t>
            </w: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支持预览体检报告。</w:t>
            </w:r>
          </w:p>
          <w:p w14:paraId="1CB5163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4</w:t>
            </w:r>
            <w:r>
              <w:rPr>
                <w:rFonts w:hint="eastAsia" w:ascii="宋体" w:hAnsi="宋体" w:eastAsia="宋体" w:cs="Times New Roman"/>
                <w:color w:val="000000"/>
                <w:kern w:val="2"/>
                <w:sz w:val="24"/>
                <w:szCs w:val="24"/>
              </w:rPr>
              <w:t>、支持主检锁定功能，可将选定的体检记录锁定并加入当前账户的个人待检池中。一旦体检记录进入个人待检池，其他主检医生将无法进行操作。</w:t>
            </w:r>
          </w:p>
          <w:p w14:paraId="4047E2A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lang w:val="en-US" w:eastAsia="zh-CN"/>
              </w:rPr>
              <w:t>5</w:t>
            </w:r>
            <w:r>
              <w:rPr>
                <w:rFonts w:hint="eastAsia" w:ascii="宋体" w:hAnsi="宋体" w:eastAsia="宋体" w:cs="Times New Roman"/>
                <w:color w:val="000000"/>
                <w:kern w:val="2"/>
                <w:sz w:val="24"/>
                <w:szCs w:val="24"/>
              </w:rPr>
              <w:t>、支持按《国家基本公共卫生服务规范 第三版》要求，进行健康评价、健康指导、危险因素控制评价。</w:t>
            </w:r>
          </w:p>
          <w:p w14:paraId="43C86F3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6</w:t>
            </w:r>
            <w:r>
              <w:rPr>
                <w:rFonts w:hint="eastAsia" w:ascii="宋体" w:hAnsi="宋体" w:eastAsia="宋体" w:cs="Times New Roman"/>
                <w:color w:val="000000"/>
                <w:kern w:val="2"/>
                <w:sz w:val="24"/>
                <w:szCs w:val="24"/>
              </w:rPr>
              <w:t>、支持根据检项异常信息自动分析健康建议。</w:t>
            </w:r>
          </w:p>
          <w:p w14:paraId="3D847E51">
            <w:pPr>
              <w:widowControl/>
              <w:spacing w:line="360" w:lineRule="auto"/>
              <w:rPr>
                <w:rFonts w:ascii="Times New Roman" w:hAnsi="Times New Roman" w:eastAsia="宋体" w:cs="Times New Roman"/>
                <w:kern w:val="2"/>
                <w:sz w:val="24"/>
                <w:szCs w:val="24"/>
              </w:rPr>
            </w:pPr>
            <w:r>
              <w:rPr>
                <w:rFonts w:hint="eastAsia" w:ascii="宋体" w:hAnsi="宋体" w:eastAsia="宋体" w:cs="Times New Roman"/>
                <w:color w:val="000000"/>
                <w:kern w:val="2"/>
                <w:sz w:val="24"/>
                <w:szCs w:val="24"/>
                <w:lang w:val="en-US" w:eastAsia="zh-CN"/>
              </w:rPr>
              <w:t>7</w:t>
            </w:r>
            <w:r>
              <w:rPr>
                <w:rFonts w:hint="eastAsia" w:ascii="宋体" w:hAnsi="宋体" w:eastAsia="宋体" w:cs="Times New Roman"/>
                <w:color w:val="000000"/>
                <w:kern w:val="2"/>
                <w:sz w:val="24"/>
                <w:szCs w:val="24"/>
              </w:rPr>
              <w:t>、支持主检常用语快速选择纳入健康建议。</w:t>
            </w:r>
          </w:p>
        </w:tc>
      </w:tr>
      <w:tr w14:paraId="57F2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26" w:type="dxa"/>
            <w:vAlign w:val="center"/>
          </w:tcPr>
          <w:p w14:paraId="78599D01">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主检判断（从业）</w:t>
            </w:r>
          </w:p>
        </w:tc>
        <w:tc>
          <w:tcPr>
            <w:tcW w:w="1691" w:type="dxa"/>
            <w:shd w:val="clear" w:color="auto" w:fill="auto"/>
            <w:vAlign w:val="center"/>
          </w:tcPr>
          <w:p w14:paraId="16FB8C3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从业主检判断</w:t>
            </w:r>
          </w:p>
        </w:tc>
        <w:tc>
          <w:tcPr>
            <w:tcW w:w="6273" w:type="dxa"/>
            <w:shd w:val="clear" w:color="auto" w:fill="auto"/>
            <w:vAlign w:val="center"/>
          </w:tcPr>
          <w:p w14:paraId="2EE84CA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r>
              <w:rPr>
                <w:rFonts w:ascii="宋体" w:hAnsi="宋体" w:eastAsia="宋体" w:cs="Times New Roman"/>
                <w:color w:val="000000"/>
                <w:kern w:val="2"/>
                <w:sz w:val="24"/>
                <w:szCs w:val="24"/>
              </w:rPr>
              <w:t>、</w:t>
            </w:r>
            <w:r>
              <w:rPr>
                <w:rFonts w:hint="eastAsia" w:ascii="宋体" w:hAnsi="宋体" w:eastAsia="宋体" w:cs="Times New Roman"/>
                <w:color w:val="000000"/>
                <w:kern w:val="2"/>
                <w:sz w:val="24"/>
                <w:szCs w:val="24"/>
              </w:rPr>
              <w:t>支持受检者体检情况自动进行人群分类，支持检项全部合格人员批量主检提交功能。</w:t>
            </w:r>
          </w:p>
          <w:p w14:paraId="2B2A1E1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2、支持受检者本次体检详情、历史检查结果横向对比查阅，历史异常受检者主动提醒，支持查看受检者历史主检、历史问诊信息。</w:t>
            </w:r>
          </w:p>
          <w:p w14:paraId="276E78D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3、支持心电图、超声等影像检查图像查阅</w:t>
            </w: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支持预览体检报告。</w:t>
            </w:r>
          </w:p>
          <w:p w14:paraId="12D7D97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4</w:t>
            </w:r>
            <w:r>
              <w:rPr>
                <w:rFonts w:hint="eastAsia" w:ascii="宋体" w:hAnsi="宋体" w:eastAsia="宋体" w:cs="Times New Roman"/>
                <w:color w:val="000000"/>
                <w:kern w:val="2"/>
                <w:sz w:val="24"/>
                <w:szCs w:val="24"/>
              </w:rPr>
              <w:t>、支持主检锁定功能，可将选定的体检记录锁定并加入当前账户的个人待检池中。一旦体检记录进入个人待检池，其他主检医生将无法进行操作。</w:t>
            </w:r>
          </w:p>
          <w:p w14:paraId="5A753FC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5</w:t>
            </w:r>
            <w:r>
              <w:rPr>
                <w:rFonts w:hint="eastAsia" w:ascii="宋体" w:hAnsi="宋体" w:eastAsia="宋体" w:cs="Times New Roman"/>
                <w:color w:val="000000"/>
                <w:kern w:val="2"/>
                <w:sz w:val="24"/>
                <w:szCs w:val="24"/>
              </w:rPr>
              <w:t>、支持主检医生根据受检者检项信息判断合格、不合格、复查的主检结论。</w:t>
            </w:r>
          </w:p>
          <w:p w14:paraId="52B2D9CA">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6</w:t>
            </w:r>
            <w:r>
              <w:rPr>
                <w:rFonts w:hint="eastAsia" w:ascii="宋体" w:hAnsi="宋体" w:eastAsia="宋体" w:cs="Times New Roman"/>
                <w:color w:val="000000"/>
                <w:kern w:val="2"/>
                <w:sz w:val="24"/>
                <w:szCs w:val="24"/>
              </w:rPr>
              <w:t>、支持判定合格人员生成从业健康证信息。</w:t>
            </w:r>
          </w:p>
          <w:p w14:paraId="1B8172F8">
            <w:pPr>
              <w:widowControl/>
              <w:spacing w:line="360" w:lineRule="auto"/>
              <w:rPr>
                <w:rFonts w:ascii="Times New Roman" w:hAnsi="Times New Roman" w:eastAsia="宋体" w:cs="Times New Roman"/>
                <w:kern w:val="2"/>
                <w:sz w:val="24"/>
                <w:szCs w:val="24"/>
              </w:rPr>
            </w:pPr>
            <w:r>
              <w:rPr>
                <w:rFonts w:hint="eastAsia" w:ascii="宋体" w:hAnsi="宋体" w:eastAsia="宋体" w:cs="Times New Roman"/>
                <w:color w:val="000000"/>
                <w:kern w:val="2"/>
                <w:sz w:val="24"/>
                <w:szCs w:val="24"/>
                <w:lang w:val="en-US" w:eastAsia="zh-CN"/>
              </w:rPr>
              <w:t>7</w:t>
            </w:r>
            <w:r>
              <w:rPr>
                <w:rFonts w:hint="eastAsia" w:ascii="宋体" w:hAnsi="宋体" w:eastAsia="宋体" w:cs="Times New Roman"/>
                <w:color w:val="000000"/>
                <w:kern w:val="2"/>
                <w:sz w:val="24"/>
                <w:szCs w:val="24"/>
              </w:rPr>
              <w:t>、支持判定复查人员复查项目及复查时间要求。</w:t>
            </w:r>
          </w:p>
        </w:tc>
      </w:tr>
      <w:tr w14:paraId="4BE8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132B66C2">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报告管理（公用）</w:t>
            </w:r>
          </w:p>
        </w:tc>
        <w:tc>
          <w:tcPr>
            <w:tcW w:w="1691" w:type="dxa"/>
            <w:vAlign w:val="center"/>
          </w:tcPr>
          <w:p w14:paraId="42AFC94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体检报告打印</w:t>
            </w:r>
          </w:p>
        </w:tc>
        <w:tc>
          <w:tcPr>
            <w:tcW w:w="6273" w:type="dxa"/>
            <w:vAlign w:val="center"/>
          </w:tcPr>
          <w:p w14:paraId="2451B56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1、支持根据不同体检类型批量打印不同格式体检报告，支持配置不同格式的体检报告配置打印。</w:t>
            </w:r>
          </w:p>
          <w:p w14:paraId="08715AE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2、支持PDF格式电子报告批量导出功能。</w:t>
            </w:r>
          </w:p>
          <w:p w14:paraId="23F3BD2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3、支持设定报告打印份数来实现单份报告按要求打印多份的功能。</w:t>
            </w:r>
          </w:p>
          <w:p w14:paraId="71AF22C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4、支持提醒不同体检类型待打印报告份数。</w:t>
            </w:r>
          </w:p>
          <w:p w14:paraId="4BE67D64">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5、支持报告清单数据excel表格导出。</w:t>
            </w:r>
          </w:p>
        </w:tc>
      </w:tr>
      <w:tr w14:paraId="374B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2DBAC87">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7CCFBDC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单科报告打印</w:t>
            </w:r>
          </w:p>
        </w:tc>
        <w:tc>
          <w:tcPr>
            <w:tcW w:w="6273" w:type="dxa"/>
            <w:vAlign w:val="center"/>
          </w:tcPr>
          <w:p w14:paraId="2ECC75E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1、支持批量打印单科检查报告功能，根据科室设计不同格式的单科报告。</w:t>
            </w:r>
          </w:p>
          <w:p w14:paraId="3A6E467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2、支持PDF格式电子报告批量导出单科报告的功能。</w:t>
            </w:r>
          </w:p>
          <w:p w14:paraId="6ABCA3E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3、支持读卡或查询条件快速调取体检人员进行打印。</w:t>
            </w:r>
          </w:p>
        </w:tc>
      </w:tr>
      <w:tr w14:paraId="1057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5ACA122F">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296B207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报告发放</w:t>
            </w:r>
          </w:p>
        </w:tc>
        <w:tc>
          <w:tcPr>
            <w:tcW w:w="6273" w:type="dxa"/>
            <w:vAlign w:val="center"/>
          </w:tcPr>
          <w:p w14:paraId="17623AF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1、支持报告发放功能，以“领取”或“邮寄”两种发放方式区分处理。</w:t>
            </w:r>
          </w:p>
          <w:p w14:paraId="3348397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2、领取报告模式支持记录本人领取或他人代领，记录领取人信息。</w:t>
            </w:r>
          </w:p>
          <w:p w14:paraId="0A16329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3、邮寄报告模式支持记录邮寄信息。</w:t>
            </w:r>
          </w:p>
          <w:p w14:paraId="796A94F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4、支持读卡或查询条件快速调取体检人员进行打印。</w:t>
            </w:r>
          </w:p>
          <w:p w14:paraId="0D32A1D9">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5、支持报告发放清单数据excel表格导出。</w:t>
            </w:r>
          </w:p>
        </w:tc>
      </w:tr>
      <w:tr w14:paraId="370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6B405B6B">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报告管理（从业）</w:t>
            </w:r>
          </w:p>
        </w:tc>
        <w:tc>
          <w:tcPr>
            <w:tcW w:w="1691" w:type="dxa"/>
            <w:vAlign w:val="center"/>
          </w:tcPr>
          <w:p w14:paraId="0A2D59D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体检报告打印</w:t>
            </w:r>
          </w:p>
        </w:tc>
        <w:tc>
          <w:tcPr>
            <w:tcW w:w="6273" w:type="dxa"/>
            <w:vAlign w:val="center"/>
          </w:tcPr>
          <w:p w14:paraId="5CCDB0C8">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1、支持出具从业体检规范格式的从业体检报告。</w:t>
            </w:r>
          </w:p>
        </w:tc>
      </w:tr>
      <w:tr w14:paraId="2F93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551486FD">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07BDDC18">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通知单打印</w:t>
            </w:r>
          </w:p>
        </w:tc>
        <w:tc>
          <w:tcPr>
            <w:tcW w:w="6273" w:type="dxa"/>
            <w:vAlign w:val="center"/>
          </w:tcPr>
          <w:p w14:paraId="2EE8AFB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1、支持出具复检通知书、不合格通知书。</w:t>
            </w:r>
          </w:p>
        </w:tc>
      </w:tr>
      <w:tr w14:paraId="3683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480F860C">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6F347E7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电子健康证发布</w:t>
            </w:r>
          </w:p>
        </w:tc>
        <w:tc>
          <w:tcPr>
            <w:tcW w:w="6273" w:type="dxa"/>
            <w:vAlign w:val="center"/>
          </w:tcPr>
          <w:p w14:paraId="4714107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1、支持从业健康证批量打印功能。</w:t>
            </w:r>
          </w:p>
          <w:p w14:paraId="3A38F107">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2、支持健康证信息清单EXCEL表格导出。</w:t>
            </w:r>
          </w:p>
        </w:tc>
      </w:tr>
      <w:tr w14:paraId="6D8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14:paraId="7687936F">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报告管理（福利）</w:t>
            </w:r>
          </w:p>
        </w:tc>
        <w:tc>
          <w:tcPr>
            <w:tcW w:w="1691" w:type="dxa"/>
            <w:vAlign w:val="center"/>
          </w:tcPr>
          <w:p w14:paraId="20374EA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体检报告打印、通知单打印</w:t>
            </w:r>
          </w:p>
        </w:tc>
        <w:tc>
          <w:tcPr>
            <w:tcW w:w="6273" w:type="dxa"/>
            <w:vAlign w:val="center"/>
          </w:tcPr>
          <w:p w14:paraId="4ED23B1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1、支持设置福利性健康体检报告报表格式，图文结合样式的体检报告。</w:t>
            </w:r>
          </w:p>
          <w:p w14:paraId="2529AC0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2、支持出具福利体检复检通知单。</w:t>
            </w:r>
          </w:p>
        </w:tc>
      </w:tr>
      <w:tr w14:paraId="7D22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14:paraId="23DDA0D9">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报告管理（公卫）</w:t>
            </w:r>
          </w:p>
        </w:tc>
        <w:tc>
          <w:tcPr>
            <w:tcW w:w="1691" w:type="dxa"/>
            <w:vAlign w:val="center"/>
          </w:tcPr>
          <w:p w14:paraId="51CFDFB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体检报告打印</w:t>
            </w:r>
          </w:p>
        </w:tc>
        <w:tc>
          <w:tcPr>
            <w:tcW w:w="6273" w:type="dxa"/>
            <w:vAlign w:val="center"/>
          </w:tcPr>
          <w:p w14:paraId="1391A9FB">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lang w:eastAsia="zh-CN"/>
              </w:rPr>
              <w:t>▲</w:t>
            </w:r>
            <w:r>
              <w:rPr>
                <w:rFonts w:hint="eastAsia" w:ascii="宋体" w:hAnsi="宋体" w:eastAsia="宋体" w:cs="Times New Roman"/>
                <w:color w:val="000000"/>
                <w:kern w:val="2"/>
                <w:sz w:val="24"/>
                <w:szCs w:val="24"/>
              </w:rPr>
              <w:t>1、支持按《国家基本公共卫生服务规范第三版》要求设定公卫体检报告打印格式。</w:t>
            </w:r>
          </w:p>
        </w:tc>
      </w:tr>
      <w:tr w14:paraId="2C23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14:paraId="74D2927B">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查询统计</w:t>
            </w:r>
          </w:p>
          <w:p w14:paraId="131318A6">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（公用）</w:t>
            </w:r>
          </w:p>
        </w:tc>
        <w:tc>
          <w:tcPr>
            <w:tcW w:w="1691" w:type="dxa"/>
            <w:vAlign w:val="center"/>
          </w:tcPr>
          <w:p w14:paraId="309CB51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日志查询</w:t>
            </w:r>
          </w:p>
        </w:tc>
        <w:tc>
          <w:tcPr>
            <w:tcW w:w="6273" w:type="dxa"/>
            <w:vAlign w:val="center"/>
          </w:tcPr>
          <w:p w14:paraId="38138C4C">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1、系统具备完善的操作日志记录，支持查询各模块的操作日志，记录操作人、操作时间、操作内容。</w:t>
            </w:r>
          </w:p>
        </w:tc>
      </w:tr>
      <w:tr w14:paraId="6D77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4FF50AC1">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17BE149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体检状态查询</w:t>
            </w:r>
          </w:p>
        </w:tc>
        <w:tc>
          <w:tcPr>
            <w:tcW w:w="6273" w:type="dxa"/>
            <w:vAlign w:val="center"/>
          </w:tcPr>
          <w:p w14:paraId="6F9A7E0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1、支持体检状态查询功能，根据体检状态分类查询受检者名单。</w:t>
            </w:r>
          </w:p>
          <w:p w14:paraId="40B7908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2、支持选择体检人员调取本次体检详情，查看各科室流程状态、检查明细信息、收费明细信息等。</w:t>
            </w:r>
          </w:p>
          <w:p w14:paraId="4A12D92F">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3、支持查看体检人员历史档案信息，历史检查结果横向对比查阅，历史主检、历史问诊信息。</w:t>
            </w:r>
          </w:p>
        </w:tc>
      </w:tr>
      <w:tr w14:paraId="3D94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44F8082">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0685A1A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体检记录导出</w:t>
            </w:r>
          </w:p>
        </w:tc>
        <w:tc>
          <w:tcPr>
            <w:tcW w:w="6273" w:type="dxa"/>
            <w:vAlign w:val="center"/>
          </w:tcPr>
          <w:p w14:paraId="7D25B7B3">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1、支持体检记录导出功能，以列表形式查询全部体检结果或者体检异常结果，提供体检结果数据导出excel和报告单打印功能。</w:t>
            </w:r>
          </w:p>
          <w:p w14:paraId="4BEE68B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2、支持建立常用查询方案，方便查询数据时选择查询方案快读查询功能。</w:t>
            </w:r>
          </w:p>
          <w:p w14:paraId="7D84F3D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3、支持设定体检项目指定异常范围值精确搜索功能。</w:t>
            </w:r>
          </w:p>
        </w:tc>
      </w:tr>
      <w:tr w14:paraId="0F16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68326E1">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35A0957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体检开展统计</w:t>
            </w:r>
          </w:p>
        </w:tc>
        <w:tc>
          <w:tcPr>
            <w:tcW w:w="6273" w:type="dxa"/>
            <w:vAlign w:val="center"/>
          </w:tcPr>
          <w:p w14:paraId="207CCCC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1、支持按企业角度分析体检进度人数、男女数，不同体检类型检查异常率数据。</w:t>
            </w:r>
          </w:p>
          <w:p w14:paraId="074F68B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2、支持按项目组合角度分析登记数量、完成数量、异常率数据。</w:t>
            </w:r>
          </w:p>
          <w:p w14:paraId="246F62C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3、支持按体检项目角度分析登记数量、完成数量、异常率数据。</w:t>
            </w:r>
          </w:p>
        </w:tc>
      </w:tr>
      <w:tr w14:paraId="2CA2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2E3B103">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50E706C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医生工作量统计</w:t>
            </w:r>
          </w:p>
        </w:tc>
        <w:tc>
          <w:tcPr>
            <w:tcW w:w="6273" w:type="dxa"/>
            <w:vAlign w:val="center"/>
          </w:tcPr>
          <w:p w14:paraId="4EB0F97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1、支持医生工作量统计，汇总数据并导出EXCEL表格功能。</w:t>
            </w:r>
          </w:p>
          <w:p w14:paraId="388FE0E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2、支持汇总统计登记、问诊、采集、科室检查、科室审核、主检、主检审核、打印、随访等工作量数据。</w:t>
            </w:r>
          </w:p>
          <w:p w14:paraId="6A6C8200">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3、支持按科室、科室+项目组合、科室+体检项目三种不同统计形式查询，支持查询指定医生工作量数据。</w:t>
            </w:r>
          </w:p>
        </w:tc>
      </w:tr>
      <w:tr w14:paraId="51C8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1044839F">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6D6D64E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科室工作量统计</w:t>
            </w:r>
          </w:p>
        </w:tc>
        <w:tc>
          <w:tcPr>
            <w:tcW w:w="6273" w:type="dxa"/>
            <w:vAlign w:val="center"/>
          </w:tcPr>
          <w:p w14:paraId="79BF9EB5">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1、支持科室工作量统计，汇总统计科室医生每个项目组合的人数及金额，并支持导出EXCEL表格。</w:t>
            </w:r>
          </w:p>
        </w:tc>
      </w:tr>
      <w:tr w14:paraId="01E9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097132A2">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3A168AF6">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收费信息查询</w:t>
            </w:r>
          </w:p>
        </w:tc>
        <w:tc>
          <w:tcPr>
            <w:tcW w:w="6273" w:type="dxa"/>
            <w:vAlign w:val="center"/>
          </w:tcPr>
          <w:p w14:paraId="2B641D0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1、支持收费信息查询，查询票据的开票信息及票据明细信息。</w:t>
            </w:r>
          </w:p>
          <w:p w14:paraId="423524A7">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2、支持查询票据状态，分类筛选正常状态票据或者作废状态票据，支持票据信息导出EXCEL表格。</w:t>
            </w:r>
          </w:p>
        </w:tc>
      </w:tr>
      <w:tr w14:paraId="270B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354EE6CD">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0AC1C882">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减免信息查询</w:t>
            </w:r>
          </w:p>
        </w:tc>
        <w:tc>
          <w:tcPr>
            <w:tcW w:w="6273" w:type="dxa"/>
            <w:vAlign w:val="center"/>
          </w:tcPr>
          <w:p w14:paraId="27D25ADB">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1、支持减免信息查询，查询所有减免记录、减免金额、减免人及减免时间，并支持导出EXCEL表格。</w:t>
            </w:r>
          </w:p>
        </w:tc>
      </w:tr>
      <w:tr w14:paraId="14D1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3AC1A50F">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27F05DE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财务结算统计</w:t>
            </w:r>
          </w:p>
        </w:tc>
        <w:tc>
          <w:tcPr>
            <w:tcW w:w="6273" w:type="dxa"/>
            <w:vAlign w:val="center"/>
          </w:tcPr>
          <w:p w14:paraId="6569F18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1、支持财务结算统计，统计当日或指定范围日的流水账信息，并支持收费员打印结算单功能。</w:t>
            </w:r>
          </w:p>
          <w:p w14:paraId="5E2CB1A3">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2、支持授权管理人员统计全部收费员各项付款方式的结算汇总数据，汇总数据可导出EXCEL表格。</w:t>
            </w:r>
          </w:p>
        </w:tc>
      </w:tr>
      <w:tr w14:paraId="6051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6DE78173">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35A6351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企业缴费进度统计</w:t>
            </w:r>
          </w:p>
        </w:tc>
        <w:tc>
          <w:tcPr>
            <w:tcW w:w="6273" w:type="dxa"/>
            <w:vAlign w:val="center"/>
          </w:tcPr>
          <w:p w14:paraId="08B49BEF">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1、支持按企业维度统计登记体检人数、欠费状态，应收金额及结算情况。</w:t>
            </w:r>
          </w:p>
          <w:p w14:paraId="637E570D">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2、支持查询企业体检缴费明细，统计体检名单、欠费状态、应收金额及结算情况。</w:t>
            </w:r>
          </w:p>
          <w:p w14:paraId="19811A10">
            <w:pPr>
              <w:widowControl/>
              <w:spacing w:line="360" w:lineRule="auto"/>
              <w:rPr>
                <w:rFonts w:ascii="Times New Roman" w:hAnsi="Times New Roman" w:eastAsia="宋体" w:cs="Times New Roman"/>
                <w:kern w:val="2"/>
                <w:sz w:val="28"/>
                <w:szCs w:val="20"/>
              </w:rPr>
            </w:pPr>
            <w:r>
              <w:rPr>
                <w:rFonts w:hint="eastAsia" w:ascii="宋体" w:hAnsi="宋体" w:eastAsia="宋体" w:cs="Times New Roman"/>
                <w:color w:val="000000"/>
                <w:kern w:val="2"/>
                <w:sz w:val="24"/>
                <w:szCs w:val="24"/>
              </w:rPr>
              <w:t>3、支持汇总数据导出EXCEL表格。</w:t>
            </w:r>
          </w:p>
        </w:tc>
      </w:tr>
      <w:tr w14:paraId="07BC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continue"/>
            <w:vAlign w:val="center"/>
          </w:tcPr>
          <w:p w14:paraId="392FE431">
            <w:pPr>
              <w:widowControl/>
              <w:spacing w:line="360" w:lineRule="auto"/>
              <w:jc w:val="center"/>
              <w:rPr>
                <w:rFonts w:ascii="宋体" w:hAnsi="宋体" w:eastAsia="宋体" w:cs="Times New Roman"/>
                <w:color w:val="000000"/>
                <w:kern w:val="2"/>
                <w:sz w:val="24"/>
                <w:szCs w:val="24"/>
              </w:rPr>
            </w:pPr>
          </w:p>
        </w:tc>
        <w:tc>
          <w:tcPr>
            <w:tcW w:w="1691" w:type="dxa"/>
            <w:vAlign w:val="center"/>
          </w:tcPr>
          <w:p w14:paraId="616F155E">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体检疾病统计</w:t>
            </w:r>
          </w:p>
        </w:tc>
        <w:tc>
          <w:tcPr>
            <w:tcW w:w="6273" w:type="dxa"/>
            <w:vAlign w:val="center"/>
          </w:tcPr>
          <w:p w14:paraId="1781339C">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1、支持体检疾病统计功能，按年龄段或性别汇总统计疾病列表、名单、疾病率，并支持导出EXCEL表格。</w:t>
            </w:r>
          </w:p>
        </w:tc>
      </w:tr>
      <w:tr w14:paraId="09A3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14:paraId="2483CE19">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查询统计</w:t>
            </w:r>
          </w:p>
          <w:p w14:paraId="601A44AE">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（从业）</w:t>
            </w:r>
          </w:p>
        </w:tc>
        <w:tc>
          <w:tcPr>
            <w:tcW w:w="1691" w:type="dxa"/>
            <w:vAlign w:val="center"/>
          </w:tcPr>
          <w:p w14:paraId="78CDC5A4">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从业人员体检情况统计</w:t>
            </w:r>
          </w:p>
        </w:tc>
        <w:tc>
          <w:tcPr>
            <w:tcW w:w="6273" w:type="dxa"/>
            <w:vAlign w:val="center"/>
          </w:tcPr>
          <w:p w14:paraId="5B214B09">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1、支持从业人员体检情况统计功能，统计各企业体检人数、异常人数、合格发证人数，并支持导出EXCEL表格。</w:t>
            </w:r>
          </w:p>
        </w:tc>
      </w:tr>
      <w:tr w14:paraId="2D70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vAlign w:val="center"/>
          </w:tcPr>
          <w:p w14:paraId="12DA224A">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系统对接</w:t>
            </w:r>
          </w:p>
        </w:tc>
        <w:tc>
          <w:tcPr>
            <w:tcW w:w="1691" w:type="dxa"/>
            <w:vAlign w:val="center"/>
          </w:tcPr>
          <w:p w14:paraId="1E3432E1">
            <w:pPr>
              <w:widowControl/>
              <w:spacing w:line="360" w:lineRule="auto"/>
              <w:rPr>
                <w:rFonts w:ascii="宋体" w:hAnsi="宋体" w:eastAsia="宋体" w:cs="Times New Roman"/>
                <w:kern w:val="2"/>
                <w:sz w:val="24"/>
                <w:szCs w:val="24"/>
              </w:rPr>
            </w:pPr>
            <w:r>
              <w:rPr>
                <w:rFonts w:hint="eastAsia" w:ascii="宋体" w:hAnsi="宋体" w:eastAsia="宋体" w:cs="Times New Roman"/>
                <w:kern w:val="2"/>
                <w:sz w:val="24"/>
                <w:szCs w:val="24"/>
              </w:rPr>
              <w:t>院内系统提供接口标准</w:t>
            </w:r>
          </w:p>
        </w:tc>
        <w:tc>
          <w:tcPr>
            <w:tcW w:w="6273" w:type="dxa"/>
            <w:vAlign w:val="center"/>
          </w:tcPr>
          <w:p w14:paraId="1D588CB1">
            <w:pPr>
              <w:widowControl/>
              <w:spacing w:line="360" w:lineRule="auto"/>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1、支持按院内建设的HIS系统提供的接口方案，实现体检费用结算类业务数据交互。</w:t>
            </w:r>
          </w:p>
        </w:tc>
      </w:tr>
      <w:tr w14:paraId="7BDB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14:paraId="5964B3CB">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接口系统</w:t>
            </w:r>
          </w:p>
          <w:p w14:paraId="2EC72718">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（从业）</w:t>
            </w:r>
          </w:p>
        </w:tc>
        <w:tc>
          <w:tcPr>
            <w:tcW w:w="1691" w:type="dxa"/>
            <w:vAlign w:val="center"/>
          </w:tcPr>
          <w:p w14:paraId="6986FE4B">
            <w:pPr>
              <w:widowControl w:val="0"/>
              <w:spacing w:line="360" w:lineRule="auto"/>
              <w:jc w:val="both"/>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上传数据处理</w:t>
            </w:r>
          </w:p>
        </w:tc>
        <w:tc>
          <w:tcPr>
            <w:tcW w:w="6273" w:type="dxa"/>
            <w:vAlign w:val="center"/>
          </w:tcPr>
          <w:p w14:paraId="12D49F46">
            <w:pPr>
              <w:widowControl/>
              <w:spacing w:line="360" w:lineRule="auto"/>
              <w:rPr>
                <w:rFonts w:ascii="宋体" w:hAnsi="宋体" w:eastAsia="宋体" w:cs="Times New Roman"/>
                <w:b/>
                <w:bCs/>
                <w:color w:val="000000"/>
                <w:kern w:val="2"/>
                <w:sz w:val="24"/>
                <w:szCs w:val="24"/>
                <w:highlight w:val="none"/>
                <w:u w:val="single"/>
              </w:rPr>
            </w:pPr>
            <w:r>
              <w:rPr>
                <w:rFonts w:hint="eastAsia" w:ascii="宋体" w:hAnsi="宋体" w:eastAsia="宋体" w:cs="Times New Roman"/>
                <w:b/>
                <w:bCs/>
                <w:color w:val="000000"/>
                <w:kern w:val="2"/>
                <w:sz w:val="24"/>
                <w:szCs w:val="24"/>
                <w:highlight w:val="none"/>
                <w:u w:val="single"/>
              </w:rPr>
              <w:t>1、系统能实现与江苏省从业人员健</w:t>
            </w:r>
            <w:r>
              <w:rPr>
                <w:rFonts w:ascii="宋体" w:hAnsi="宋体" w:eastAsia="宋体" w:cs="Times New Roman"/>
                <w:b/>
                <w:bCs/>
                <w:color w:val="000000"/>
                <w:kern w:val="2"/>
                <w:sz w:val="24"/>
                <w:szCs w:val="24"/>
                <w:highlight w:val="none"/>
                <w:u w:val="single"/>
              </w:rPr>
              <w:t>康检查信息管理平台</w:t>
            </w:r>
            <w:r>
              <w:rPr>
                <w:rFonts w:hint="eastAsia" w:ascii="宋体" w:hAnsi="宋体" w:eastAsia="宋体" w:cs="Times New Roman"/>
                <w:b/>
                <w:bCs/>
                <w:color w:val="000000"/>
                <w:kern w:val="2"/>
                <w:sz w:val="24"/>
                <w:szCs w:val="24"/>
                <w:highlight w:val="none"/>
                <w:u w:val="single"/>
              </w:rPr>
              <w:t>无缝对接，根据省从业检查要求实现数据自动上报（非手工输入模式）。★供应商需提供承诺函。（本条为实质性条件）</w:t>
            </w:r>
          </w:p>
          <w:p w14:paraId="1DC10A2D">
            <w:pPr>
              <w:widowControl/>
              <w:spacing w:line="360" w:lineRule="auto"/>
              <w:rPr>
                <w:rFonts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2、支持上传进度查询及异常状态提醒及处理功能。</w:t>
            </w:r>
          </w:p>
        </w:tc>
      </w:tr>
      <w:tr w14:paraId="571C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14:paraId="2D6C08F4">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接口系统</w:t>
            </w:r>
          </w:p>
          <w:p w14:paraId="2DEA1E1C">
            <w:pPr>
              <w:widowControl/>
              <w:spacing w:line="360" w:lineRule="auto"/>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（公卫）</w:t>
            </w:r>
          </w:p>
        </w:tc>
        <w:tc>
          <w:tcPr>
            <w:tcW w:w="1691" w:type="dxa"/>
            <w:vAlign w:val="center"/>
          </w:tcPr>
          <w:p w14:paraId="2FD3B55B">
            <w:pPr>
              <w:widowControl w:val="0"/>
              <w:spacing w:line="360" w:lineRule="auto"/>
              <w:jc w:val="both"/>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上传数据处理</w:t>
            </w:r>
          </w:p>
        </w:tc>
        <w:tc>
          <w:tcPr>
            <w:tcW w:w="6273" w:type="dxa"/>
            <w:vAlign w:val="center"/>
          </w:tcPr>
          <w:p w14:paraId="7FB040B8">
            <w:pPr>
              <w:widowControl/>
              <w:spacing w:line="360" w:lineRule="auto"/>
              <w:rPr>
                <w:rFonts w:hint="eastAsia" w:ascii="宋体" w:hAnsi="宋体" w:eastAsia="宋体" w:cs="Times New Roman"/>
                <w:b/>
                <w:bCs/>
                <w:color w:val="000000"/>
                <w:kern w:val="2"/>
                <w:sz w:val="24"/>
                <w:szCs w:val="24"/>
                <w:highlight w:val="none"/>
                <w:u w:val="single"/>
              </w:rPr>
            </w:pPr>
            <w:r>
              <w:rPr>
                <w:rFonts w:hint="eastAsia" w:ascii="宋体" w:hAnsi="宋体" w:eastAsia="宋体" w:cs="Times New Roman"/>
                <w:b/>
                <w:bCs/>
                <w:color w:val="000000"/>
                <w:kern w:val="2"/>
                <w:sz w:val="24"/>
                <w:szCs w:val="24"/>
                <w:highlight w:val="none"/>
                <w:u w:val="single"/>
              </w:rPr>
              <w:t>1、系统能实现与宿迁老年人健康体检信息管理系统对接。★供应商需提供承诺函。（本条为实质性条件）</w:t>
            </w:r>
          </w:p>
          <w:p w14:paraId="7CB89004">
            <w:pPr>
              <w:widowControl/>
              <w:spacing w:line="360" w:lineRule="auto"/>
              <w:rPr>
                <w:rFonts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2、支持上传进度查询及异常状态提醒及处理功能。</w:t>
            </w:r>
            <w:bookmarkStart w:id="5" w:name="_GoBack"/>
            <w:bookmarkEnd w:id="5"/>
          </w:p>
        </w:tc>
      </w:tr>
    </w:tbl>
    <w:p w14:paraId="0A534B05">
      <w:pPr>
        <w:rPr>
          <w:rFonts w:hint="eastAsia" w:ascii="宋体" w:hAnsi="宋体" w:eastAsia="宋体" w:cs="宋体"/>
          <w:b/>
          <w:bCs/>
          <w:kern w:val="2"/>
          <w:sz w:val="24"/>
          <w:szCs w:val="24"/>
          <w:lang w:val="en-US" w:eastAsia="zh-CN"/>
        </w:rPr>
      </w:pPr>
    </w:p>
    <w:p w14:paraId="2DC2C170">
      <w:pPr>
        <w:spacing w:line="360" w:lineRule="auto"/>
        <w:ind w:firstLine="482"/>
        <w:jc w:val="left"/>
        <w:rPr>
          <w:rFonts w:hint="default" w:ascii="黑体" w:hAnsi="黑体" w:eastAsia="黑体" w:cs="宋体"/>
          <w:kern w:val="0"/>
          <w:sz w:val="24"/>
          <w:szCs w:val="24"/>
        </w:rPr>
      </w:pPr>
      <w:r>
        <w:rPr>
          <w:rFonts w:hint="eastAsia" w:ascii="黑体" w:hAnsi="黑体" w:eastAsia="黑体" w:cs="宋体"/>
          <w:kern w:val="0"/>
          <w:sz w:val="24"/>
          <w:szCs w:val="24"/>
        </w:rPr>
        <w:t>四、项目实施要求</w:t>
      </w:r>
    </w:p>
    <w:p w14:paraId="2E19E5CA">
      <w:pPr>
        <w:spacing w:line="360" w:lineRule="auto"/>
        <w:ind w:firstLine="480"/>
        <w:rPr>
          <w:rFonts w:hint="default" w:ascii="宋体" w:hAnsi="宋体" w:eastAsia="宋体" w:cs="宋体"/>
          <w:bCs/>
          <w:kern w:val="0"/>
          <w:sz w:val="24"/>
          <w:szCs w:val="24"/>
        </w:rPr>
      </w:pPr>
      <w:r>
        <w:rPr>
          <w:rFonts w:hint="eastAsia" w:ascii="宋体" w:hAnsi="宋体" w:eastAsia="宋体" w:cs="宋体"/>
          <w:bCs/>
          <w:kern w:val="0"/>
          <w:sz w:val="24"/>
          <w:szCs w:val="24"/>
        </w:rPr>
        <w:t>1、实施进度计划：实施进度计划是对软件开发过程的任务、时间和资源的规划安排，主要阶段分为需求分析阶段、设计阶段、开发阶段、测试阶段、部署与维护阶段等，该计划的关键作用主要是指导项目推进、便于资源协调、利于风险管理。</w:t>
      </w:r>
    </w:p>
    <w:p w14:paraId="6D13E388">
      <w:pPr>
        <w:spacing w:line="360" w:lineRule="auto"/>
        <w:ind w:firstLine="480"/>
        <w:rPr>
          <w:rFonts w:hint="default" w:ascii="宋体" w:hAnsi="宋体" w:eastAsia="宋体" w:cs="宋体"/>
          <w:bCs/>
          <w:kern w:val="0"/>
          <w:sz w:val="24"/>
          <w:szCs w:val="24"/>
        </w:rPr>
      </w:pPr>
      <w:r>
        <w:rPr>
          <w:rFonts w:hint="eastAsia" w:ascii="宋体" w:hAnsi="宋体" w:eastAsia="宋体" w:cs="宋体"/>
          <w:bCs/>
          <w:kern w:val="0"/>
          <w:sz w:val="24"/>
          <w:szCs w:val="24"/>
        </w:rPr>
        <w:t>2、实施步骤：明确项目目标，包括软件的功能、性能等方面的期望，组建项目团队，进行初步的可行性研究。需求分析与利益相关者（如客户、用户）沟通，收集详细的软件功能、用户界面、数据处理等需求。分析和整理需求，形成需求规格说明书，为后续开发提供清晰的依据。软件设计阶段根据需求进行总体架构设计，确定软件的模块划分、层次结构和接口关系。进行详细设计，包括数据库设计、算法设计、界面设计等。最后进行编码实现、软件测试、部署上线根据用户反馈和业务变化，对软件进行功能升级和优化。</w:t>
      </w:r>
    </w:p>
    <w:p w14:paraId="5AB2C3EA">
      <w:pPr>
        <w:spacing w:line="360" w:lineRule="auto"/>
        <w:ind w:firstLine="480"/>
        <w:rPr>
          <w:rFonts w:hint="default" w:ascii="黑体" w:hAnsi="黑体" w:eastAsia="黑体" w:cs="宋体"/>
          <w:bCs/>
          <w:kern w:val="0"/>
          <w:sz w:val="24"/>
          <w:szCs w:val="24"/>
        </w:rPr>
      </w:pPr>
      <w:bookmarkStart w:id="3" w:name="OLE_LINK10"/>
      <w:bookmarkStart w:id="4" w:name="OLE_LINK12"/>
      <w:r>
        <w:rPr>
          <w:rFonts w:hint="eastAsia" w:ascii="黑体" w:hAnsi="黑体" w:eastAsia="黑体" w:cs="宋体"/>
          <w:kern w:val="0"/>
          <w:sz w:val="24"/>
          <w:szCs w:val="24"/>
        </w:rPr>
        <w:t>五、</w:t>
      </w:r>
      <w:bookmarkEnd w:id="3"/>
      <w:bookmarkEnd w:id="4"/>
      <w:r>
        <w:rPr>
          <w:rFonts w:hint="eastAsia" w:ascii="黑体" w:hAnsi="黑体" w:eastAsia="黑体" w:cs="宋体"/>
          <w:kern w:val="0"/>
          <w:sz w:val="24"/>
          <w:szCs w:val="24"/>
        </w:rPr>
        <w:t>风险预防及控制措施</w:t>
      </w:r>
    </w:p>
    <w:p w14:paraId="5ED2EE08">
      <w:pPr>
        <w:spacing w:line="360" w:lineRule="auto"/>
        <w:ind w:firstLine="480"/>
        <w:rPr>
          <w:rFonts w:hint="default" w:ascii="宋体" w:hAnsi="宋体" w:eastAsia="宋体" w:cs="宋体"/>
          <w:bCs/>
          <w:kern w:val="0"/>
          <w:sz w:val="24"/>
          <w:szCs w:val="24"/>
        </w:rPr>
      </w:pPr>
      <w:r>
        <w:rPr>
          <w:rFonts w:hint="eastAsia" w:ascii="宋体" w:hAnsi="宋体" w:eastAsia="宋体" w:cs="宋体"/>
          <w:kern w:val="0"/>
          <w:sz w:val="24"/>
          <w:szCs w:val="24"/>
        </w:rPr>
        <w:t>明确项目实施过程中可能存在的风险以及制定相应风险控制措施方法。软件实施存在需求风险、技术风险、人力资源风险、进度风险等，针对上述不同的风险制定不同控制措施，比如需求管理、技术选型与储备、人力资源管理以及进度监控和调整。</w:t>
      </w:r>
    </w:p>
    <w:p w14:paraId="465B673D">
      <w:pPr>
        <w:spacing w:line="360" w:lineRule="auto"/>
        <w:ind w:firstLine="480"/>
        <w:rPr>
          <w:rFonts w:hint="default" w:ascii="黑体" w:hAnsi="黑体" w:eastAsia="黑体" w:cs="宋体"/>
          <w:kern w:val="0"/>
          <w:sz w:val="24"/>
          <w:szCs w:val="24"/>
        </w:rPr>
      </w:pPr>
      <w:r>
        <w:rPr>
          <w:rFonts w:hint="eastAsia" w:ascii="黑体" w:hAnsi="黑体" w:eastAsia="黑体" w:cs="宋体"/>
          <w:kern w:val="0"/>
          <w:sz w:val="24"/>
          <w:szCs w:val="24"/>
        </w:rPr>
        <w:t>六、培训要求</w:t>
      </w:r>
    </w:p>
    <w:p w14:paraId="6B766724">
      <w:pPr>
        <w:spacing w:line="360" w:lineRule="auto"/>
        <w:ind w:firstLine="480"/>
        <w:rPr>
          <w:rFonts w:hint="default" w:ascii="宋体" w:hAnsi="宋体" w:eastAsia="宋体" w:cs="宋体"/>
          <w:kern w:val="0"/>
          <w:sz w:val="24"/>
          <w:szCs w:val="24"/>
        </w:rPr>
      </w:pPr>
      <w:r>
        <w:rPr>
          <w:rFonts w:hint="eastAsia" w:ascii="宋体" w:hAnsi="宋体" w:eastAsia="宋体" w:cs="宋体"/>
          <w:kern w:val="0"/>
          <w:sz w:val="24"/>
          <w:szCs w:val="24"/>
        </w:rPr>
        <w:t>1.培训内容：成交供应商应在平台使用方面为采购人的技术人员开设培训课程，使其能够掌握系统的运行、检查、维护工作。</w:t>
      </w:r>
    </w:p>
    <w:p w14:paraId="5FE50D61">
      <w:pPr>
        <w:spacing w:line="360" w:lineRule="auto"/>
        <w:ind w:firstLine="480"/>
        <w:rPr>
          <w:rFonts w:hint="default" w:ascii="宋体" w:hAnsi="宋体" w:eastAsia="宋体" w:cs="宋体"/>
          <w:kern w:val="0"/>
          <w:sz w:val="24"/>
          <w:szCs w:val="24"/>
        </w:rPr>
      </w:pPr>
      <w:r>
        <w:rPr>
          <w:rFonts w:hint="eastAsia" w:ascii="宋体" w:hAnsi="宋体" w:eastAsia="宋体" w:cs="宋体"/>
          <w:kern w:val="0"/>
          <w:sz w:val="24"/>
          <w:szCs w:val="24"/>
        </w:rPr>
        <w:t>2.培训时间：</w:t>
      </w:r>
      <w:r>
        <w:rPr>
          <w:rFonts w:hint="eastAsia" w:ascii="宋体" w:hAnsi="宋体" w:eastAsia="宋体" w:cs="宋体"/>
          <w:kern w:val="0"/>
          <w:sz w:val="24"/>
          <w:szCs w:val="24"/>
          <w:lang w:val="en-US" w:eastAsia="zh-CN"/>
        </w:rPr>
        <w:t>提供不少于</w:t>
      </w:r>
      <w:r>
        <w:rPr>
          <w:rFonts w:hint="eastAsia" w:ascii="宋体" w:hAnsi="宋体" w:eastAsia="宋体" w:cs="宋体"/>
          <w:kern w:val="0"/>
          <w:sz w:val="24"/>
          <w:szCs w:val="24"/>
        </w:rPr>
        <w:t>1次培训服务，不少于2小时。</w:t>
      </w:r>
    </w:p>
    <w:p w14:paraId="1D3BF8FE">
      <w:pPr>
        <w:spacing w:line="360" w:lineRule="auto"/>
        <w:ind w:firstLine="480"/>
        <w:rPr>
          <w:rFonts w:hint="default" w:ascii="宋体" w:hAnsi="宋体" w:eastAsia="宋体" w:cs="宋体"/>
          <w:kern w:val="0"/>
          <w:sz w:val="24"/>
          <w:szCs w:val="24"/>
        </w:rPr>
      </w:pPr>
      <w:r>
        <w:rPr>
          <w:rFonts w:hint="eastAsia" w:ascii="宋体" w:hAnsi="宋体" w:eastAsia="宋体" w:cs="宋体"/>
          <w:kern w:val="0"/>
          <w:sz w:val="24"/>
          <w:szCs w:val="24"/>
        </w:rPr>
        <w:t>3.培训地点：由采购人指定，包括但不限于使用单位内。</w:t>
      </w:r>
    </w:p>
    <w:p w14:paraId="40401F47">
      <w:pPr>
        <w:spacing w:line="360" w:lineRule="auto"/>
        <w:ind w:firstLine="480"/>
        <w:rPr>
          <w:rFonts w:hint="default" w:ascii="宋体" w:hAnsi="宋体" w:eastAsia="宋体" w:cs="宋体"/>
          <w:kern w:val="0"/>
          <w:sz w:val="24"/>
          <w:szCs w:val="24"/>
        </w:rPr>
      </w:pPr>
      <w:r>
        <w:rPr>
          <w:rFonts w:hint="eastAsia" w:ascii="宋体" w:hAnsi="宋体" w:eastAsia="宋体" w:cs="宋体"/>
          <w:kern w:val="0"/>
          <w:sz w:val="24"/>
          <w:szCs w:val="24"/>
        </w:rPr>
        <w:t>4.培训方法及目标：成交供应商要详细制定详细的培训计划。要求根据用户的实际工作通过分角色、分流程、分系统进行全面培训，使各岗位相关人员（管理员、技术人员、使用人员等）全面熟练撑握与自己工作相关的软件应用，确保日常工作的顺利完成。</w:t>
      </w:r>
    </w:p>
    <w:p w14:paraId="7C4B06C2">
      <w:pPr>
        <w:spacing w:line="360" w:lineRule="auto"/>
        <w:ind w:firstLine="480"/>
        <w:rPr>
          <w:rFonts w:hint="default" w:ascii="宋体" w:hAnsi="宋体" w:eastAsia="宋体" w:cs="宋体"/>
          <w:kern w:val="0"/>
          <w:sz w:val="24"/>
          <w:szCs w:val="24"/>
        </w:rPr>
      </w:pPr>
      <w:r>
        <w:rPr>
          <w:rFonts w:hint="eastAsia" w:ascii="宋体" w:hAnsi="宋体" w:eastAsia="宋体" w:cs="宋体"/>
          <w:kern w:val="0"/>
          <w:sz w:val="24"/>
          <w:szCs w:val="24"/>
        </w:rPr>
        <w:t>5.成交供应商应向接受培训人员提供技术资料、图纸、参考文献材料等。</w:t>
      </w:r>
    </w:p>
    <w:p w14:paraId="2C0D8641">
      <w:pPr>
        <w:spacing w:line="360" w:lineRule="auto"/>
        <w:ind w:firstLine="480"/>
        <w:rPr>
          <w:rFonts w:hint="default" w:ascii="宋体" w:hAnsi="宋体" w:eastAsia="宋体" w:cs="宋体"/>
          <w:kern w:val="0"/>
          <w:sz w:val="24"/>
          <w:szCs w:val="24"/>
        </w:rPr>
      </w:pPr>
      <w:r>
        <w:rPr>
          <w:rFonts w:hint="eastAsia" w:ascii="宋体" w:hAnsi="宋体" w:eastAsia="宋体" w:cs="宋体"/>
          <w:kern w:val="0"/>
          <w:sz w:val="24"/>
          <w:szCs w:val="24"/>
        </w:rPr>
        <w:t>6.成交供应商负责培训的一切费用。</w:t>
      </w:r>
    </w:p>
    <w:p w14:paraId="54AD8721">
      <w:pPr>
        <w:spacing w:line="360" w:lineRule="auto"/>
        <w:ind w:firstLine="482"/>
        <w:jc w:val="left"/>
        <w:rPr>
          <w:rFonts w:hint="default" w:ascii="黑体" w:hAnsi="黑体" w:eastAsia="黑体" w:cs="宋体"/>
          <w:kern w:val="0"/>
          <w:sz w:val="24"/>
          <w:szCs w:val="24"/>
        </w:rPr>
      </w:pPr>
      <w:r>
        <w:rPr>
          <w:rFonts w:hint="eastAsia" w:ascii="黑体" w:hAnsi="黑体" w:eastAsia="黑体" w:cs="宋体"/>
          <w:kern w:val="0"/>
          <w:sz w:val="24"/>
          <w:szCs w:val="24"/>
        </w:rPr>
        <w:t>七、运维服务要求</w:t>
      </w:r>
    </w:p>
    <w:p w14:paraId="4F4EC8CF">
      <w:pPr>
        <w:spacing w:line="360" w:lineRule="auto"/>
        <w:ind w:firstLine="480"/>
        <w:rPr>
          <w:rFonts w:hint="default" w:ascii="宋体" w:hAnsi="宋体" w:eastAsia="宋体" w:cs="宋体"/>
          <w:bCs/>
          <w:kern w:val="0"/>
          <w:sz w:val="24"/>
          <w:szCs w:val="24"/>
        </w:rPr>
      </w:pPr>
      <w:r>
        <w:rPr>
          <w:rFonts w:hint="eastAsia" w:ascii="宋体" w:hAnsi="宋体" w:eastAsia="宋体" w:cs="宋体"/>
          <w:bCs/>
          <w:kern w:val="0"/>
          <w:sz w:val="24"/>
          <w:szCs w:val="24"/>
        </w:rPr>
        <w:t>1、应急预案：成交供应商</w:t>
      </w:r>
      <w:r>
        <w:rPr>
          <w:rFonts w:hint="eastAsia" w:ascii="宋体" w:hAnsi="宋体" w:eastAsia="宋体" w:cs="Times New Roman"/>
          <w:kern w:val="0"/>
          <w:sz w:val="24"/>
          <w:szCs w:val="24"/>
        </w:rPr>
        <w:t>做好应急预案，制定配套应急措施，做到线上线下及时响应，</w:t>
      </w:r>
      <w:r>
        <w:rPr>
          <w:rFonts w:hint="eastAsia" w:ascii="宋体" w:hAnsi="宋体" w:eastAsia="宋体" w:cs="宋体"/>
          <w:bCs/>
          <w:kern w:val="0"/>
          <w:sz w:val="24"/>
          <w:szCs w:val="24"/>
        </w:rPr>
        <w:t>在维护期发生导致系统无法正常运行、影响业务正常开展的故障时，接到甲方反馈后，在10分钟内响应，在2小时内快速解决问题，若无法通过远程或网络解决问题，工程师最短在48小时内到达现场开始问题的排查。</w:t>
      </w:r>
      <w:r>
        <w:rPr>
          <w:rFonts w:hint="eastAsia" w:ascii="宋体" w:hAnsi="宋体" w:eastAsia="宋体" w:cs="Times New Roman"/>
          <w:kern w:val="0"/>
          <w:sz w:val="24"/>
          <w:szCs w:val="24"/>
        </w:rPr>
        <w:t>供应商应对系统运行中的突发故障，建立24小时服务器性能监测体系，借助网络管理工具对网络设备及关键链路进行24小时实时监测，</w:t>
      </w:r>
      <w:r>
        <w:rPr>
          <w:rFonts w:hint="eastAsia" w:ascii="宋体" w:hAnsi="宋体" w:eastAsia="宋体" w:cs="Times New Roman"/>
          <w:bCs/>
          <w:kern w:val="0"/>
          <w:sz w:val="24"/>
          <w:szCs w:val="24"/>
        </w:rPr>
        <w:t>一旦发现异常情况，立即启动故障评估流程，精准定位出现故障的局部模块或功能，并判断其对整体业务的影响程度，同时记录故障发生的时间、环境信息及初步的故障表现特征，为后续的应急处理提供详细的数据支持</w:t>
      </w:r>
      <w:r>
        <w:rPr>
          <w:rFonts w:hint="eastAsia" w:ascii="宋体" w:hAnsi="宋体" w:eastAsia="宋体" w:cs="Times New Roman"/>
          <w:kern w:val="0"/>
          <w:sz w:val="24"/>
          <w:szCs w:val="24"/>
        </w:rPr>
        <w:t>，确保相关人</w:t>
      </w:r>
      <w:r>
        <w:rPr>
          <w:rFonts w:hint="eastAsia" w:ascii="宋体" w:hAnsi="宋体" w:eastAsia="宋体" w:cs="宋体"/>
          <w:bCs/>
          <w:kern w:val="0"/>
          <w:sz w:val="24"/>
          <w:szCs w:val="24"/>
        </w:rPr>
        <w:t>员能够在第一时间收到通知并采取相应行动，为后续的应急处置争取宝贵的时间窗口。</w:t>
      </w:r>
    </w:p>
    <w:p w14:paraId="38F241D1">
      <w:pPr>
        <w:spacing w:line="360" w:lineRule="auto"/>
        <w:ind w:firstLine="480"/>
        <w:rPr>
          <w:rFonts w:hint="default" w:ascii="宋体" w:hAnsi="宋体" w:eastAsia="宋体" w:cs="宋体"/>
          <w:bCs/>
          <w:kern w:val="0"/>
          <w:sz w:val="24"/>
          <w:szCs w:val="24"/>
        </w:rPr>
      </w:pPr>
      <w:r>
        <w:rPr>
          <w:rFonts w:hint="eastAsia" w:ascii="宋体" w:hAnsi="宋体" w:eastAsia="宋体" w:cs="宋体"/>
          <w:bCs/>
          <w:kern w:val="0"/>
          <w:sz w:val="24"/>
          <w:szCs w:val="24"/>
        </w:rPr>
        <w:t>2、若有政策性要求导致系统模块、功能等产生变更，需要对系统进行开发、升级、改造时，成交供应商应配合响应。</w:t>
      </w:r>
    </w:p>
    <w:p w14:paraId="484275AE">
      <w:pPr>
        <w:spacing w:line="360" w:lineRule="auto"/>
        <w:ind w:firstLine="482"/>
        <w:jc w:val="left"/>
        <w:rPr>
          <w:rFonts w:hint="default" w:ascii="黑体" w:hAnsi="黑体" w:eastAsia="黑体" w:cs="宋体"/>
          <w:kern w:val="0"/>
          <w:sz w:val="24"/>
          <w:szCs w:val="24"/>
        </w:rPr>
      </w:pPr>
      <w:r>
        <w:rPr>
          <w:rFonts w:hint="eastAsia" w:ascii="黑体" w:hAnsi="黑体" w:eastAsia="黑体" w:cs="宋体"/>
          <w:kern w:val="0"/>
          <w:sz w:val="24"/>
          <w:szCs w:val="24"/>
        </w:rPr>
        <w:t>八、对接要求</w:t>
      </w:r>
    </w:p>
    <w:p w14:paraId="58599B0C">
      <w:pPr>
        <w:spacing w:line="360" w:lineRule="auto"/>
        <w:ind w:firstLine="482"/>
        <w:jc w:val="left"/>
        <w:rPr>
          <w:rFonts w:hint="default" w:ascii="宋体" w:hAnsi="宋体" w:eastAsia="宋体" w:cs="宋体"/>
          <w:bCs/>
          <w:kern w:val="0"/>
          <w:sz w:val="24"/>
          <w:szCs w:val="24"/>
        </w:rPr>
      </w:pPr>
      <w:r>
        <w:rPr>
          <w:rFonts w:hint="eastAsia" w:ascii="宋体" w:hAnsi="宋体" w:eastAsia="宋体" w:cs="宋体"/>
          <w:bCs/>
          <w:kern w:val="0"/>
          <w:sz w:val="24"/>
          <w:szCs w:val="24"/>
        </w:rPr>
        <w:t>1、如采购人工作有需要，成交供应商要开放自身系统的所有业务数据，供其他系统调取使用。</w:t>
      </w:r>
    </w:p>
    <w:p w14:paraId="7B4BEBD6">
      <w:pPr>
        <w:spacing w:line="360" w:lineRule="auto"/>
        <w:ind w:firstLine="482"/>
        <w:jc w:val="left"/>
        <w:rPr>
          <w:rFonts w:hint="default" w:ascii="宋体" w:hAnsi="宋体" w:eastAsia="宋体" w:cs="宋体"/>
          <w:bCs/>
          <w:kern w:val="0"/>
          <w:sz w:val="24"/>
          <w:szCs w:val="24"/>
        </w:rPr>
      </w:pPr>
      <w:r>
        <w:rPr>
          <w:rFonts w:hint="eastAsia" w:ascii="宋体" w:hAnsi="宋体" w:eastAsia="宋体" w:cs="宋体"/>
          <w:bCs/>
          <w:kern w:val="0"/>
          <w:sz w:val="24"/>
          <w:szCs w:val="24"/>
        </w:rPr>
        <w:t>2、若采购人集成平台、HIS系统等相关系统更新或更换，涉及接口程序变化的，成交供应商应提供接口修改服务。</w:t>
      </w:r>
    </w:p>
    <w:p w14:paraId="0D59110A">
      <w:pPr>
        <w:spacing w:line="360" w:lineRule="auto"/>
        <w:ind w:firstLine="482"/>
        <w:rPr>
          <w:rFonts w:hint="default" w:ascii="Calibri" w:hAnsi="宋体" w:eastAsia="宋体" w:cs="Times New Roman"/>
          <w:bCs/>
          <w:kern w:val="0"/>
          <w:szCs w:val="22"/>
        </w:rPr>
      </w:pPr>
      <w:r>
        <w:rPr>
          <w:rFonts w:hint="eastAsia" w:ascii="宋体" w:hAnsi="宋体" w:eastAsia="宋体" w:cs="宋体"/>
          <w:bCs/>
          <w:kern w:val="0"/>
          <w:sz w:val="24"/>
          <w:szCs w:val="24"/>
        </w:rPr>
        <w:t>3、采购人若有与国家抗肿瘤药物监测应用平台、</w:t>
      </w:r>
      <w:r>
        <w:rPr>
          <w:rFonts w:hint="eastAsia" w:ascii="Times New Roman" w:hAnsi="Times New Roman" w:eastAsia="宋体" w:cs="仿宋"/>
          <w:color w:val="000000"/>
          <w:kern w:val="0"/>
          <w:sz w:val="24"/>
          <w:szCs w:val="24"/>
        </w:rPr>
        <w:t>江苏省放疗质控中心、</w:t>
      </w:r>
      <w:r>
        <w:rPr>
          <w:rFonts w:hint="eastAsia" w:ascii="宋体" w:hAnsi="宋体" w:eastAsia="宋体" w:cs="宋体"/>
          <w:bCs/>
          <w:kern w:val="0"/>
          <w:sz w:val="24"/>
          <w:szCs w:val="24"/>
        </w:rPr>
        <w:t>省全民健康信息平台、市全民健康信息平台等上级部门做数据对接的要求，</w:t>
      </w:r>
      <w:r>
        <w:rPr>
          <w:rFonts w:hint="eastAsia" w:ascii="宋体" w:hAnsi="宋体" w:eastAsia="宋体" w:cs="Times New Roman"/>
          <w:kern w:val="0"/>
          <w:sz w:val="24"/>
          <w:szCs w:val="24"/>
        </w:rPr>
        <w:t>成交供应商</w:t>
      </w:r>
      <w:r>
        <w:rPr>
          <w:rFonts w:hint="eastAsia" w:ascii="宋体" w:hAnsi="宋体" w:eastAsia="宋体" w:cs="宋体"/>
          <w:bCs/>
          <w:kern w:val="0"/>
          <w:sz w:val="24"/>
          <w:szCs w:val="24"/>
        </w:rPr>
        <w:t>应根据采购人要求提供相关数据对接服务。</w:t>
      </w:r>
    </w:p>
    <w:p w14:paraId="67AA51E4">
      <w:pPr>
        <w:widowControl w:val="0"/>
        <w:spacing w:line="360" w:lineRule="auto"/>
        <w:ind w:firstLine="480"/>
        <w:jc w:val="both"/>
        <w:rPr>
          <w:rFonts w:hint="default" w:ascii="宋体" w:hAnsi="宋体" w:eastAsia="宋体" w:cs="宋体"/>
          <w:color w:val="000000"/>
          <w:kern w:val="0"/>
          <w:sz w:val="24"/>
          <w:szCs w:val="24"/>
          <w:highlight w:val="yellow"/>
        </w:rPr>
      </w:pPr>
      <w:r>
        <w:rPr>
          <w:rFonts w:hint="eastAsia" w:ascii="黑体" w:hAnsi="黑体" w:eastAsia="黑体" w:cs="宋体"/>
          <w:kern w:val="0"/>
          <w:sz w:val="24"/>
          <w:szCs w:val="24"/>
        </w:rPr>
        <w:t>九、项目组人员要求</w:t>
      </w:r>
    </w:p>
    <w:p w14:paraId="5F38CBD5">
      <w:pPr>
        <w:spacing w:line="360" w:lineRule="auto"/>
        <w:ind w:firstLine="482"/>
        <w:jc w:val="left"/>
        <w:rPr>
          <w:rFonts w:hint="default" w:ascii="黑体" w:hAnsi="黑体" w:eastAsia="黑体" w:cs="宋体"/>
          <w:kern w:val="0"/>
          <w:sz w:val="24"/>
          <w:szCs w:val="24"/>
        </w:rPr>
      </w:pPr>
      <w:r>
        <w:rPr>
          <w:rFonts w:hint="eastAsia" w:ascii="宋体" w:hAnsi="宋体" w:eastAsia="宋体" w:cs="宋体"/>
          <w:color w:val="000000"/>
          <w:kern w:val="0"/>
          <w:sz w:val="24"/>
          <w:szCs w:val="24"/>
        </w:rPr>
        <w:t>本项目实施期间至本项目试运行阶段验收合格之日止要求服务人数不低于4人（含项目负责人1人），且本项目实施期间至本项目试运行阶段提供不低于</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人的驻场服务。</w:t>
      </w:r>
    </w:p>
    <w:p w14:paraId="35901221">
      <w:pPr>
        <w:spacing w:line="360" w:lineRule="auto"/>
        <w:ind w:firstLine="482"/>
        <w:jc w:val="left"/>
        <w:rPr>
          <w:rFonts w:hint="default" w:ascii="黑体" w:hAnsi="黑体" w:eastAsia="黑体" w:cs="宋体"/>
          <w:kern w:val="0"/>
          <w:sz w:val="24"/>
          <w:szCs w:val="24"/>
        </w:rPr>
      </w:pPr>
      <w:r>
        <w:rPr>
          <w:rFonts w:hint="eastAsia" w:ascii="黑体" w:hAnsi="黑体" w:eastAsia="黑体" w:cs="宋体"/>
          <w:kern w:val="0"/>
          <w:sz w:val="24"/>
          <w:szCs w:val="24"/>
        </w:rPr>
        <w:t>十、安全要求</w:t>
      </w:r>
    </w:p>
    <w:p w14:paraId="5585D20A">
      <w:pPr>
        <w:spacing w:line="360" w:lineRule="auto"/>
        <w:ind w:firstLine="482"/>
        <w:jc w:val="left"/>
        <w:rPr>
          <w:rFonts w:hint="default" w:ascii="宋体" w:hAnsi="宋体" w:eastAsia="宋体" w:cs="宋体"/>
          <w:bCs/>
          <w:kern w:val="0"/>
          <w:sz w:val="24"/>
          <w:szCs w:val="24"/>
        </w:rPr>
      </w:pPr>
      <w:r>
        <w:rPr>
          <w:rFonts w:hint="eastAsia" w:ascii="宋体" w:hAnsi="宋体" w:eastAsia="宋体" w:cs="宋体"/>
          <w:bCs/>
          <w:kern w:val="0"/>
          <w:sz w:val="24"/>
          <w:szCs w:val="24"/>
        </w:rPr>
        <w:t>1、按照采购人的要求提供完整的技术文档，包括采用的开发工具、操作系统、数据库平台等技术指标。提供的网络软件、平台软件、开发工具及应用技术、工具软件等必须使用合法、正版软件。</w:t>
      </w:r>
    </w:p>
    <w:p w14:paraId="5C2C25CC">
      <w:pPr>
        <w:spacing w:line="360" w:lineRule="auto"/>
        <w:ind w:firstLine="482"/>
        <w:jc w:val="left"/>
        <w:rPr>
          <w:rFonts w:hint="default" w:ascii="宋体" w:hAnsi="宋体" w:eastAsia="宋体" w:cs="宋体"/>
          <w:bCs/>
          <w:kern w:val="0"/>
          <w:sz w:val="24"/>
          <w:szCs w:val="24"/>
        </w:rPr>
      </w:pPr>
      <w:r>
        <w:rPr>
          <w:rFonts w:hint="eastAsia" w:ascii="宋体" w:hAnsi="宋体" w:eastAsia="宋体" w:cs="宋体"/>
          <w:bCs/>
          <w:kern w:val="0"/>
          <w:sz w:val="24"/>
          <w:szCs w:val="24"/>
        </w:rPr>
        <w:t>2、信息系统的设计、部署、实施等活动须满足《计算机网络安全管理办法》《计算机信息系统安全保护条例》等相关法律法规的要求并承担相应网络安全责任。如因软件设计缺陷、部署或运维规范问题导致了采购人遭受黑客攻击、数据泄露、数据丢失、业务系统中断等网络安全事件，成交供应商需对此类事件负责并承担由此造成的经济损失，承担的赔付金额不低于损失金额。</w:t>
      </w:r>
      <w:r>
        <w:rPr>
          <w:rFonts w:hint="eastAsia" w:ascii="Times New Roman" w:hAnsi="Times New Roman" w:eastAsia="宋体" w:cs="宋体"/>
          <w:color w:val="000000"/>
          <w:kern w:val="0"/>
          <w:sz w:val="24"/>
          <w:szCs w:val="22"/>
          <w:lang w:bidi="ar"/>
        </w:rPr>
        <w:t>满足等级保护三级要求，如采购人有需要，成交供应商应配合采购人完成等保测评相关工作。</w:t>
      </w:r>
    </w:p>
    <w:p w14:paraId="7D084632">
      <w:pPr>
        <w:spacing w:line="360" w:lineRule="auto"/>
        <w:ind w:firstLine="482"/>
        <w:jc w:val="left"/>
        <w:rPr>
          <w:rFonts w:hint="default" w:ascii="宋体" w:hAnsi="宋体" w:eastAsia="宋体" w:cs="宋体"/>
          <w:bCs/>
          <w:kern w:val="0"/>
          <w:sz w:val="24"/>
          <w:szCs w:val="24"/>
        </w:rPr>
      </w:pPr>
      <w:r>
        <w:rPr>
          <w:rFonts w:hint="eastAsia" w:ascii="宋体" w:hAnsi="宋体" w:eastAsia="宋体" w:cs="宋体"/>
          <w:bCs/>
          <w:kern w:val="0"/>
          <w:sz w:val="24"/>
          <w:szCs w:val="24"/>
        </w:rPr>
        <w:t>3、当采购人或第三方机构通过漏扫、渗透或其他核验方式发现系统在架构、配置、功能、环境等方面存在安全漏洞时，应在24小时之内配合完成修复工作。</w:t>
      </w:r>
    </w:p>
    <w:p w14:paraId="04982008">
      <w:pPr>
        <w:spacing w:line="360" w:lineRule="auto"/>
        <w:ind w:firstLine="482"/>
        <w:jc w:val="left"/>
        <w:rPr>
          <w:rFonts w:hint="default" w:ascii="宋体" w:hAnsi="宋体" w:eastAsia="宋体" w:cs="宋体"/>
          <w:bCs/>
          <w:kern w:val="0"/>
          <w:sz w:val="24"/>
          <w:szCs w:val="24"/>
        </w:rPr>
      </w:pPr>
      <w:r>
        <w:rPr>
          <w:rFonts w:hint="eastAsia" w:ascii="宋体" w:hAnsi="宋体" w:eastAsia="宋体" w:cs="宋体"/>
          <w:bCs/>
          <w:kern w:val="0"/>
          <w:sz w:val="24"/>
          <w:szCs w:val="24"/>
        </w:rPr>
        <w:t>4、提供服务所用软件需进行国产化适配测试，确保产品在国产化环境下能够正常运行，这包括兼容性、稳定性、性能、安全性等测试。若采购人有国产化适配等工作要求，成交供应商需配合采购人将系统部署在国产服务器、操作系统及数据库上。</w:t>
      </w:r>
    </w:p>
    <w:p w14:paraId="7CEDF7FC">
      <w:pPr>
        <w:spacing w:line="360" w:lineRule="auto"/>
        <w:ind w:firstLine="482"/>
        <w:jc w:val="left"/>
        <w:rPr>
          <w:rFonts w:hint="eastAsia" w:ascii="宋体" w:hAnsi="宋体" w:eastAsia="宋体" w:cs="宋体"/>
          <w:b/>
          <w:bCs/>
          <w:kern w:val="2"/>
          <w:sz w:val="24"/>
          <w:szCs w:val="24"/>
          <w:lang w:val="en-US" w:eastAsia="zh-CN"/>
        </w:rPr>
      </w:pPr>
      <w:r>
        <w:rPr>
          <w:rFonts w:hint="eastAsia" w:ascii="宋体" w:hAnsi="宋体" w:eastAsia="宋体" w:cs="宋体"/>
          <w:bCs/>
          <w:kern w:val="0"/>
          <w:sz w:val="24"/>
          <w:szCs w:val="24"/>
        </w:rPr>
        <w:t>5、系统内的资料不能因软件的故障而丢失，不能在未经授权的情况下被设立、修改和拷贝；软件设计要有定时自动的数据备份功能，手动/自动的恢复机制；提供有效的应急方案，确保系统工作的延续性和完整性，将服务器或软硬件出现故障对医院工作的影响降至最低。</w:t>
      </w:r>
    </w:p>
    <w:p w14:paraId="6C729A4E">
      <w:pPr>
        <w:spacing w:line="360" w:lineRule="auto"/>
        <w:ind w:firstLine="482"/>
        <w:jc w:val="left"/>
        <w:rPr>
          <w:rFonts w:hint="eastAsia" w:ascii="黑体" w:hAnsi="黑体" w:eastAsia="黑体" w:cs="宋体"/>
          <w:kern w:val="0"/>
          <w:sz w:val="24"/>
          <w:szCs w:val="24"/>
        </w:rPr>
      </w:pPr>
      <w:r>
        <w:rPr>
          <w:rFonts w:hint="eastAsia" w:ascii="黑体" w:hAnsi="黑体" w:eastAsia="黑体" w:cs="宋体"/>
          <w:kern w:val="0"/>
          <w:sz w:val="24"/>
          <w:szCs w:val="24"/>
          <w:lang w:val="en-US" w:eastAsia="zh-CN"/>
        </w:rPr>
        <w:t>十一</w:t>
      </w:r>
      <w:r>
        <w:rPr>
          <w:rFonts w:hint="eastAsia" w:ascii="黑体" w:hAnsi="黑体" w:eastAsia="黑体" w:cs="宋体"/>
          <w:kern w:val="0"/>
          <w:sz w:val="24"/>
          <w:szCs w:val="24"/>
        </w:rPr>
        <w:t>、验收要求</w:t>
      </w:r>
    </w:p>
    <w:p w14:paraId="1D7B5FB7">
      <w:pPr>
        <w:widowControl w:val="0"/>
        <w:spacing w:line="360" w:lineRule="auto"/>
        <w:ind w:firstLine="482"/>
        <w:jc w:val="both"/>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（一）服务期满后成交供应商可提出验收申请，采购单位在收到成交供应商的验收申请后根据技术要求，5个工作日内组织验收，并出具验收书。验收材料包括：项目实施、项目上线、服务明细等验收文档。</w:t>
      </w:r>
    </w:p>
    <w:p w14:paraId="0A037C5D">
      <w:pPr>
        <w:widowControl w:val="0"/>
        <w:spacing w:line="360" w:lineRule="auto"/>
        <w:ind w:firstLine="482"/>
        <w:jc w:val="both"/>
        <w:outlineLvl w:val="9"/>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采购人应当组成验收小组，验收人员应当按照磋商文件约定的验收标准，对供应商的履约情况开展验收。验收结束后，验收人员应当出具验收报告并签字。</w:t>
      </w:r>
    </w:p>
    <w:p w14:paraId="722F3A84">
      <w:pPr>
        <w:widowControl w:val="0"/>
        <w:spacing w:line="360" w:lineRule="auto"/>
        <w:ind w:firstLine="482"/>
        <w:jc w:val="both"/>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采购人或其委托的采购代理机构根据项目特点制定验收方案，明确履约验收的时间、方式、程序等内容。服务类项目，可根据项目特点对服务期内的服务实施情况进行分期考核，结合考核情况和服务效果进行验收；</w:t>
      </w:r>
    </w:p>
    <w:p w14:paraId="0A0AB48D">
      <w:pPr>
        <w:widowControl w:val="0"/>
        <w:spacing w:line="360" w:lineRule="auto"/>
        <w:ind w:firstLine="482"/>
        <w:jc w:val="both"/>
        <w:outlineLvl w:val="9"/>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采购人或者采购代理机构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验收结果与采购合同约定的资金支付。履约验收的各项资料存档备查。</w:t>
      </w:r>
    </w:p>
    <w:p w14:paraId="3E979F39">
      <w:pPr>
        <w:widowControl w:val="0"/>
        <w:spacing w:line="360" w:lineRule="auto"/>
        <w:ind w:firstLine="482"/>
        <w:jc w:val="both"/>
        <w:outlineLvl w:val="9"/>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（四）验收合格的项目，采购人根据采购合同的约定及时向成交人支付采购资金。验收不合格的项目，应在1天内向乙方提出书面意见，不签发验收单。成交人在接到甲方书面意见后，应在2天内予以处理。</w:t>
      </w:r>
    </w:p>
    <w:p w14:paraId="1C8DBD2A">
      <w:pPr>
        <w:widowControl w:val="0"/>
        <w:spacing w:line="360" w:lineRule="auto"/>
        <w:ind w:firstLine="482"/>
        <w:jc w:val="both"/>
        <w:outlineLvl w:val="9"/>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（五）履约验收要求提供的资料有：验收申请书、成交通知书、合同、相关实施方案、进度计划表、项目组人员、工序报验（含安装的项目）、系统软件等。</w:t>
      </w:r>
    </w:p>
    <w:p w14:paraId="16C65AC8">
      <w:pPr>
        <w:widowControl w:val="0"/>
        <w:spacing w:line="360" w:lineRule="auto"/>
        <w:ind w:firstLine="482"/>
        <w:jc w:val="both"/>
        <w:outlineLvl w:val="9"/>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（六）将上述资料装订成册一式三份，带原件的供采购人留存。成交人还需出具验收申请，由采购人签字确认后组织验收。</w:t>
      </w:r>
    </w:p>
    <w:bookmarkEnd w:id="0"/>
    <w:p w14:paraId="41C75BF3">
      <w:pPr>
        <w:widowControl w:val="0"/>
        <w:spacing w:line="360" w:lineRule="auto"/>
        <w:ind w:firstLine="480"/>
        <w:jc w:val="both"/>
        <w:rPr>
          <w:rFonts w:hint="default" w:ascii="宋体" w:hAnsi="宋体" w:eastAsia="宋体" w:cs="宋体"/>
          <w:b/>
          <w:bCs/>
          <w:color w:val="000000"/>
          <w:kern w:val="0"/>
          <w:sz w:val="24"/>
          <w:szCs w:val="24"/>
        </w:rPr>
      </w:pPr>
      <w:r>
        <w:rPr>
          <w:rFonts w:hint="eastAsia" w:ascii="黑体" w:hAnsi="黑体" w:eastAsia="黑体" w:cs="宋体"/>
          <w:kern w:val="0"/>
          <w:sz w:val="24"/>
          <w:szCs w:val="24"/>
        </w:rPr>
        <w:t>十</w:t>
      </w:r>
      <w:r>
        <w:rPr>
          <w:rFonts w:hint="eastAsia" w:ascii="黑体" w:hAnsi="黑体" w:eastAsia="黑体" w:cs="宋体"/>
          <w:kern w:val="0"/>
          <w:sz w:val="24"/>
          <w:szCs w:val="24"/>
          <w:lang w:val="en-US" w:eastAsia="zh-CN"/>
        </w:rPr>
        <w:t>二</w:t>
      </w:r>
      <w:r>
        <w:rPr>
          <w:rFonts w:hint="eastAsia" w:ascii="黑体" w:hAnsi="黑体" w:eastAsia="黑体" w:cs="宋体"/>
          <w:kern w:val="0"/>
          <w:sz w:val="24"/>
          <w:szCs w:val="24"/>
        </w:rPr>
        <w:t>、其他服务要求和注意事项</w:t>
      </w:r>
    </w:p>
    <w:p w14:paraId="3DEC11AD">
      <w:pPr>
        <w:spacing w:line="360" w:lineRule="auto"/>
        <w:ind w:firstLine="480"/>
        <w:rPr>
          <w:rFonts w:hint="default" w:ascii="宋体" w:hAnsi="宋体" w:eastAsia="宋体" w:cs="宋体"/>
          <w:kern w:val="0"/>
          <w:sz w:val="24"/>
          <w:szCs w:val="24"/>
        </w:rPr>
      </w:pPr>
      <w:r>
        <w:rPr>
          <w:rFonts w:hint="default" w:ascii="宋体" w:hAnsi="宋体" w:eastAsia="宋体" w:cs="宋体"/>
          <w:kern w:val="0"/>
          <w:sz w:val="24"/>
          <w:szCs w:val="24"/>
        </w:rPr>
        <w:t>1</w:t>
      </w:r>
      <w:r>
        <w:rPr>
          <w:rFonts w:hint="eastAsia" w:ascii="宋体" w:hAnsi="宋体" w:eastAsia="宋体" w:cs="宋体"/>
          <w:kern w:val="0"/>
          <w:sz w:val="24"/>
          <w:szCs w:val="24"/>
        </w:rPr>
        <w:t>、本项目中系统开发的归属权及数据归属于采购人，成交供应商交付采购人时应当递交开发基础代码等基础性资料。</w:t>
      </w:r>
    </w:p>
    <w:p w14:paraId="0FA3FE18">
      <w:pPr>
        <w:spacing w:line="360" w:lineRule="auto"/>
        <w:ind w:firstLine="480"/>
        <w:rPr>
          <w:rFonts w:hint="default" w:ascii="宋体" w:hAnsi="宋体" w:eastAsia="宋体" w:cs="宋体"/>
          <w:kern w:val="0"/>
          <w:sz w:val="24"/>
          <w:szCs w:val="24"/>
        </w:rPr>
      </w:pPr>
      <w:r>
        <w:rPr>
          <w:rFonts w:hint="eastAsia" w:ascii="宋体" w:hAnsi="宋体" w:eastAsia="宋体" w:cs="宋体"/>
          <w:kern w:val="0"/>
          <w:sz w:val="24"/>
          <w:szCs w:val="24"/>
        </w:rPr>
        <w:t>2、成交供应商应保证采购人在使用该系统或其任何一部分时不受第三方提出侵犯专利权、商标权或工业设备等知识产权的指控，如果第三方提出侵权指控，成交供应商须与第三方交涉并承担可能发生的一切法律责任和费用。乙方所开发的系统产权、数据产权归属于甲方医院。</w:t>
      </w:r>
    </w:p>
    <w:p w14:paraId="190B75BC">
      <w:pPr>
        <w:spacing w:line="360" w:lineRule="auto"/>
        <w:ind w:firstLine="480"/>
        <w:rPr>
          <w:rFonts w:hint="default" w:ascii="宋体" w:hAnsi="宋体" w:eastAsia="宋体" w:cs="宋体"/>
          <w:kern w:val="0"/>
          <w:sz w:val="24"/>
          <w:szCs w:val="24"/>
        </w:rPr>
      </w:pPr>
      <w:r>
        <w:rPr>
          <w:rFonts w:hint="eastAsia" w:ascii="宋体" w:hAnsi="宋体" w:eastAsia="宋体" w:cs="宋体"/>
          <w:kern w:val="0"/>
          <w:sz w:val="24"/>
          <w:szCs w:val="24"/>
        </w:rPr>
        <w:t>3、若采购人在项目建设和运维期间内信息系统发生变化，导致数据重新同步，则由成交供应商重新发起。</w:t>
      </w:r>
    </w:p>
    <w:p w14:paraId="50EAAAF7">
      <w:pPr>
        <w:spacing w:line="360" w:lineRule="auto"/>
        <w:ind w:firstLine="480"/>
        <w:rPr>
          <w:rFonts w:hint="default" w:ascii="宋体" w:hAnsi="宋体" w:eastAsia="宋体" w:cs="宋体"/>
          <w:kern w:val="0"/>
          <w:sz w:val="24"/>
          <w:szCs w:val="24"/>
          <w:lang w:eastAsia="zh-Hans"/>
        </w:rPr>
      </w:pPr>
      <w:r>
        <w:rPr>
          <w:rFonts w:hint="eastAsia" w:ascii="宋体" w:hAnsi="宋体" w:eastAsia="宋体" w:cs="宋体"/>
          <w:kern w:val="0"/>
          <w:sz w:val="24"/>
          <w:szCs w:val="24"/>
        </w:rPr>
        <w:t>4、</w:t>
      </w:r>
      <w:r>
        <w:rPr>
          <w:rFonts w:hint="eastAsia" w:ascii="宋体" w:hAnsi="宋体" w:eastAsia="宋体" w:cs="宋体"/>
          <w:kern w:val="0"/>
          <w:sz w:val="24"/>
          <w:szCs w:val="24"/>
          <w:lang w:eastAsia="zh-Hans"/>
        </w:rPr>
        <w:t>项目</w:t>
      </w:r>
      <w:r>
        <w:rPr>
          <w:rFonts w:hint="eastAsia" w:ascii="宋体" w:hAnsi="宋体" w:eastAsia="宋体" w:cs="宋体"/>
          <w:kern w:val="0"/>
          <w:sz w:val="24"/>
          <w:szCs w:val="24"/>
        </w:rPr>
        <w:t>服务期</w:t>
      </w:r>
      <w:r>
        <w:rPr>
          <w:rFonts w:hint="eastAsia" w:ascii="宋体" w:hAnsi="宋体" w:eastAsia="宋体" w:cs="宋体"/>
          <w:kern w:val="0"/>
          <w:sz w:val="24"/>
          <w:szCs w:val="24"/>
          <w:lang w:eastAsia="zh-Hans"/>
        </w:rPr>
        <w:t>内，</w:t>
      </w:r>
      <w:r>
        <w:rPr>
          <w:rFonts w:hint="eastAsia" w:ascii="宋体" w:hAnsi="宋体" w:eastAsia="宋体" w:cs="宋体"/>
          <w:kern w:val="0"/>
          <w:sz w:val="24"/>
          <w:szCs w:val="24"/>
        </w:rPr>
        <w:t>成交供应商</w:t>
      </w:r>
      <w:r>
        <w:rPr>
          <w:rFonts w:hint="eastAsia" w:ascii="宋体" w:hAnsi="宋体" w:eastAsia="宋体" w:cs="宋体"/>
          <w:kern w:val="0"/>
          <w:sz w:val="24"/>
          <w:szCs w:val="24"/>
          <w:lang w:eastAsia="zh-Hans"/>
        </w:rPr>
        <w:t>如有系统版本更新升级，主动提供升级更新服务，不得存在故意停更版本情况，一旦被</w:t>
      </w:r>
      <w:r>
        <w:rPr>
          <w:rFonts w:hint="eastAsia" w:ascii="宋体" w:hAnsi="宋体" w:eastAsia="宋体" w:cs="宋体"/>
          <w:kern w:val="0"/>
          <w:sz w:val="24"/>
          <w:szCs w:val="24"/>
        </w:rPr>
        <w:t>采购人</w:t>
      </w:r>
      <w:r>
        <w:rPr>
          <w:rFonts w:hint="eastAsia" w:ascii="宋体" w:hAnsi="宋体" w:eastAsia="宋体" w:cs="宋体"/>
          <w:kern w:val="0"/>
          <w:sz w:val="24"/>
          <w:szCs w:val="24"/>
          <w:lang w:eastAsia="zh-Hans"/>
        </w:rPr>
        <w:t>知晓，从履约保证金扣除1000元/次，直至扣完。</w:t>
      </w:r>
    </w:p>
    <w:p w14:paraId="23A5B88F">
      <w:pPr>
        <w:widowControl w:val="0"/>
        <w:spacing w:line="360" w:lineRule="auto"/>
        <w:ind w:firstLine="480"/>
        <w:jc w:val="both"/>
        <w:rPr>
          <w:rFonts w:hint="default" w:ascii="宋体" w:hAnsi="宋体" w:eastAsia="宋体" w:cs="宋体"/>
          <w:color w:val="000000"/>
          <w:kern w:val="0"/>
          <w:sz w:val="24"/>
          <w:szCs w:val="20"/>
        </w:rPr>
      </w:pPr>
      <w:r>
        <w:rPr>
          <w:rFonts w:hint="eastAsia" w:ascii="宋体" w:hAnsi="宋体" w:eastAsia="宋体" w:cs="宋体"/>
          <w:color w:val="000000"/>
          <w:kern w:val="0"/>
          <w:sz w:val="24"/>
          <w:szCs w:val="24"/>
        </w:rPr>
        <w:t>5、本项目不接受备选的投标方案或有选择的报价，只允许有一个报价。投标报价内容包括：服务本身价格、劳务、管理、检测、利润、税金及设备交付使用过程中涉及到的其他一切费用</w:t>
      </w:r>
      <w:r>
        <w:rPr>
          <w:rFonts w:hint="eastAsia" w:ascii="宋体" w:hAnsi="宋体" w:eastAsia="宋体" w:cs="宋体"/>
          <w:color w:val="000000"/>
          <w:kern w:val="0"/>
          <w:sz w:val="24"/>
          <w:szCs w:val="20"/>
        </w:rPr>
        <w:t>。</w:t>
      </w:r>
    </w:p>
    <w:p w14:paraId="01AE1780">
      <w:pPr>
        <w:spacing w:line="360" w:lineRule="auto"/>
        <w:ind w:firstLine="480"/>
        <w:rPr>
          <w:rFonts w:hint="eastAsia" w:ascii="Calibri" w:hAnsi="Calibri" w:eastAsia="宋体" w:cs="Times New Roman"/>
          <w:kern w:val="0"/>
          <w:szCs w:val="22"/>
        </w:rPr>
      </w:pPr>
      <w:r>
        <w:rPr>
          <w:rFonts w:hint="eastAsia" w:ascii="宋体" w:hAnsi="宋体" w:eastAsia="宋体" w:cs="宋体"/>
          <w:color w:val="000000"/>
          <w:kern w:val="0"/>
          <w:sz w:val="24"/>
          <w:szCs w:val="24"/>
        </w:rPr>
        <w:t>6、成交供应商报价时应充分考虑所有可能影响到报价的因素，一旦评标结束最终成交，如发生漏、缺、少项，都将被认为是成交人的报价让利行为，损失自负。</w:t>
      </w:r>
    </w:p>
    <w:p w14:paraId="4C5041CD">
      <w:pPr>
        <w:spacing w:line="360" w:lineRule="auto"/>
        <w:ind w:firstLine="480"/>
        <w:rPr>
          <w:rFonts w:hint="default" w:ascii="仿宋" w:hAnsi="仿宋" w:eastAsia="仿宋" w:cs="仿宋"/>
          <w:b/>
          <w:kern w:val="0"/>
          <w:sz w:val="24"/>
          <w:szCs w:val="24"/>
        </w:rPr>
      </w:pPr>
      <w:r>
        <w:rPr>
          <w:rFonts w:hint="eastAsia" w:ascii="黑体" w:hAnsi="黑体" w:eastAsia="黑体" w:cs="宋体"/>
          <w:kern w:val="0"/>
          <w:sz w:val="24"/>
          <w:szCs w:val="24"/>
        </w:rPr>
        <w:t>十</w:t>
      </w:r>
      <w:r>
        <w:rPr>
          <w:rFonts w:hint="eastAsia" w:ascii="黑体" w:hAnsi="黑体" w:eastAsia="黑体" w:cs="宋体"/>
          <w:kern w:val="0"/>
          <w:sz w:val="24"/>
          <w:szCs w:val="24"/>
          <w:lang w:val="en-US" w:eastAsia="zh-CN"/>
        </w:rPr>
        <w:t>三</w:t>
      </w:r>
      <w:r>
        <w:rPr>
          <w:rFonts w:hint="eastAsia" w:ascii="黑体" w:hAnsi="黑体" w:eastAsia="黑体" w:cs="宋体"/>
          <w:kern w:val="0"/>
          <w:sz w:val="24"/>
          <w:szCs w:val="24"/>
        </w:rPr>
        <w:t>、商品包装环保要求</w:t>
      </w:r>
    </w:p>
    <w:p w14:paraId="127DBE53">
      <w:pPr>
        <w:widowControl w:val="0"/>
        <w:spacing w:line="360" w:lineRule="auto"/>
        <w:ind w:firstLine="480"/>
        <w:jc w:val="left"/>
        <w:rPr>
          <w:rFonts w:hint="default" w:ascii="宋体" w:hAnsi="宋体" w:eastAsia="宋体" w:cs="仿宋"/>
          <w:kern w:val="0"/>
          <w:sz w:val="24"/>
          <w:szCs w:val="24"/>
        </w:rPr>
      </w:pPr>
      <w:r>
        <w:rPr>
          <w:rFonts w:hint="eastAsia" w:ascii="宋体" w:hAnsi="宋体" w:eastAsia="宋体" w:cs="仿宋"/>
          <w:kern w:val="0"/>
          <w:sz w:val="24"/>
          <w:szCs w:val="24"/>
        </w:rPr>
        <w:t xml:space="preserve">（一）商品包装层数不得超过 3 层，空隙率不大于40%； </w:t>
      </w:r>
    </w:p>
    <w:p w14:paraId="79A40CAC">
      <w:pPr>
        <w:widowControl w:val="0"/>
        <w:spacing w:line="360" w:lineRule="auto"/>
        <w:ind w:firstLine="480"/>
        <w:jc w:val="left"/>
        <w:rPr>
          <w:rFonts w:hint="default" w:ascii="宋体" w:hAnsi="宋体" w:eastAsia="宋体" w:cs="仿宋"/>
          <w:kern w:val="0"/>
          <w:sz w:val="24"/>
          <w:szCs w:val="24"/>
        </w:rPr>
      </w:pPr>
      <w:r>
        <w:rPr>
          <w:rFonts w:hint="eastAsia" w:ascii="宋体" w:hAnsi="宋体" w:eastAsia="宋体" w:cs="仿宋"/>
          <w:kern w:val="0"/>
          <w:sz w:val="24"/>
          <w:szCs w:val="24"/>
        </w:rPr>
        <w:t xml:space="preserve">（二）商品包装尽可能使用单一材质的包装材料，如因功能需求必需使用不同材质，不同材质间应便于分离； </w:t>
      </w:r>
    </w:p>
    <w:p w14:paraId="7D9E79DD">
      <w:pPr>
        <w:widowControl w:val="0"/>
        <w:spacing w:line="360" w:lineRule="auto"/>
        <w:ind w:firstLine="480"/>
        <w:jc w:val="left"/>
        <w:rPr>
          <w:rFonts w:hint="default" w:ascii="宋体" w:hAnsi="宋体" w:eastAsia="宋体" w:cs="仿宋"/>
          <w:kern w:val="0"/>
          <w:sz w:val="24"/>
          <w:szCs w:val="24"/>
        </w:rPr>
      </w:pPr>
      <w:r>
        <w:rPr>
          <w:rFonts w:hint="eastAsia" w:ascii="宋体" w:hAnsi="宋体" w:eastAsia="宋体" w:cs="仿宋"/>
          <w:kern w:val="0"/>
          <w:sz w:val="24"/>
          <w:szCs w:val="24"/>
        </w:rPr>
        <w:t xml:space="preserve">（三）商品包装中铅、汞、镉、六价铬的总含量应不大于100mg/kg； </w:t>
      </w:r>
    </w:p>
    <w:p w14:paraId="7C3E66C7">
      <w:pPr>
        <w:widowControl w:val="0"/>
        <w:spacing w:line="360" w:lineRule="auto"/>
        <w:ind w:firstLine="480"/>
        <w:jc w:val="left"/>
        <w:rPr>
          <w:rFonts w:hint="default" w:ascii="宋体" w:hAnsi="宋体" w:eastAsia="宋体" w:cs="仿宋"/>
          <w:kern w:val="0"/>
          <w:sz w:val="24"/>
          <w:szCs w:val="24"/>
        </w:rPr>
      </w:pPr>
      <w:r>
        <w:rPr>
          <w:rFonts w:hint="eastAsia" w:ascii="宋体" w:hAnsi="宋体" w:eastAsia="宋体" w:cs="仿宋"/>
          <w:kern w:val="0"/>
          <w:sz w:val="24"/>
          <w:szCs w:val="24"/>
        </w:rPr>
        <w:t xml:space="preserve">（四）商品包装印刷使用的油墨中挥发性有机化合物(VOCs) 含量应不大于 5%（以重量计）； </w:t>
      </w:r>
    </w:p>
    <w:p w14:paraId="00535C41">
      <w:pPr>
        <w:widowControl w:val="0"/>
        <w:spacing w:line="360" w:lineRule="auto"/>
        <w:ind w:firstLine="480"/>
        <w:jc w:val="left"/>
        <w:rPr>
          <w:rFonts w:hint="default" w:ascii="宋体" w:hAnsi="宋体" w:eastAsia="宋体" w:cs="仿宋"/>
          <w:kern w:val="0"/>
          <w:sz w:val="24"/>
          <w:szCs w:val="24"/>
        </w:rPr>
      </w:pPr>
      <w:r>
        <w:rPr>
          <w:rFonts w:hint="eastAsia" w:ascii="宋体" w:hAnsi="宋体" w:eastAsia="宋体" w:cs="仿宋"/>
          <w:kern w:val="0"/>
          <w:sz w:val="24"/>
          <w:szCs w:val="24"/>
        </w:rPr>
        <w:t xml:space="preserve">（五）塑料材质商品包装上呈现的印刷颜色不得超过 6 色； </w:t>
      </w:r>
    </w:p>
    <w:p w14:paraId="5BD83FD9">
      <w:pPr>
        <w:widowControl w:val="0"/>
        <w:spacing w:line="360" w:lineRule="auto"/>
        <w:ind w:firstLine="480"/>
        <w:jc w:val="left"/>
        <w:rPr>
          <w:rFonts w:hint="default" w:ascii="宋体" w:hAnsi="宋体" w:eastAsia="宋体" w:cs="仿宋"/>
          <w:kern w:val="0"/>
          <w:sz w:val="24"/>
          <w:szCs w:val="24"/>
        </w:rPr>
      </w:pPr>
      <w:r>
        <w:rPr>
          <w:rFonts w:hint="eastAsia" w:ascii="宋体" w:hAnsi="宋体" w:eastAsia="宋体" w:cs="仿宋"/>
          <w:kern w:val="0"/>
          <w:sz w:val="24"/>
          <w:szCs w:val="24"/>
        </w:rPr>
        <w:t xml:space="preserve">（六）纸质商品包装应使用75%以上的可再生纤维原料生产； </w:t>
      </w:r>
    </w:p>
    <w:p w14:paraId="6FDE77DA">
      <w:pPr>
        <w:widowControl w:val="0"/>
        <w:spacing w:line="360" w:lineRule="auto"/>
        <w:ind w:firstLine="480"/>
        <w:jc w:val="left"/>
        <w:rPr>
          <w:rFonts w:hint="default" w:ascii="宋体" w:hAnsi="宋体" w:eastAsia="宋体" w:cs="仿宋"/>
          <w:kern w:val="0"/>
          <w:sz w:val="24"/>
          <w:szCs w:val="24"/>
        </w:rPr>
      </w:pPr>
      <w:r>
        <w:rPr>
          <w:rFonts w:hint="eastAsia" w:ascii="宋体" w:hAnsi="宋体" w:eastAsia="宋体" w:cs="仿宋"/>
          <w:kern w:val="0"/>
          <w:sz w:val="24"/>
          <w:szCs w:val="24"/>
        </w:rPr>
        <w:t xml:space="preserve">（七）木质商品包装的原料应来源于可持续性森林。 </w:t>
      </w:r>
    </w:p>
    <w:p w14:paraId="2FFB6C5B">
      <w:pPr>
        <w:widowControl w:val="0"/>
        <w:spacing w:line="360" w:lineRule="auto"/>
        <w:ind w:firstLine="480"/>
        <w:jc w:val="left"/>
        <w:rPr>
          <w:rFonts w:hint="default" w:ascii="仿宋" w:hAnsi="仿宋" w:eastAsia="仿宋" w:cs="仿宋"/>
          <w:kern w:val="0"/>
          <w:sz w:val="24"/>
          <w:szCs w:val="24"/>
        </w:rPr>
      </w:pPr>
      <w:r>
        <w:rPr>
          <w:rFonts w:hint="eastAsia" w:ascii="宋体" w:hAnsi="宋体" w:eastAsia="宋体" w:cs="仿宋"/>
          <w:kern w:val="0"/>
          <w:sz w:val="24"/>
          <w:szCs w:val="24"/>
        </w:rPr>
        <w:t>注：检测方法 1.商品包装中重金属（铅、汞、镉、六价铬）总量的检测按照 GB/T 10004-2008《包装用塑料复合膜、袋干法复合、 挤出复合》规定的方法进行。 2.商品包装印刷使用的油墨中挥发性有机化合物(VOCs) 的检测按照 GB/T 23986-2009《色漆和清漆 挥发性有机化合 物(VOC)含量的测定 气相色谱法》规定的方法。</w:t>
      </w:r>
    </w:p>
    <w:p w14:paraId="1181F8ED">
      <w:pPr>
        <w:spacing w:line="360" w:lineRule="auto"/>
        <w:ind w:firstLine="480"/>
        <w:rPr>
          <w:rFonts w:hint="default" w:ascii="仿宋" w:hAnsi="仿宋" w:eastAsia="仿宋" w:cs="仿宋"/>
          <w:b/>
          <w:kern w:val="0"/>
          <w:sz w:val="24"/>
          <w:szCs w:val="24"/>
        </w:rPr>
      </w:pPr>
      <w:r>
        <w:rPr>
          <w:rFonts w:hint="eastAsia" w:ascii="黑体" w:hAnsi="黑体" w:eastAsia="黑体" w:cs="宋体"/>
          <w:kern w:val="0"/>
          <w:sz w:val="24"/>
          <w:szCs w:val="24"/>
        </w:rPr>
        <w:t>十</w:t>
      </w:r>
      <w:r>
        <w:rPr>
          <w:rFonts w:hint="eastAsia" w:ascii="黑体" w:hAnsi="黑体" w:eastAsia="黑体" w:cs="宋体"/>
          <w:kern w:val="0"/>
          <w:sz w:val="24"/>
          <w:szCs w:val="24"/>
          <w:lang w:val="en-US" w:eastAsia="zh-CN"/>
        </w:rPr>
        <w:t>四</w:t>
      </w:r>
      <w:r>
        <w:rPr>
          <w:rFonts w:hint="eastAsia" w:ascii="黑体" w:hAnsi="黑体" w:eastAsia="黑体" w:cs="宋体"/>
          <w:kern w:val="0"/>
          <w:sz w:val="24"/>
          <w:szCs w:val="24"/>
        </w:rPr>
        <w:t>、快递包装环保要求</w:t>
      </w:r>
    </w:p>
    <w:p w14:paraId="048E4FF3">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（一）快递包装中重金属（铅、汞、镉、六价铬）总量应不大于100mg/kg；</w:t>
      </w:r>
    </w:p>
    <w:p w14:paraId="5C9FBF8E">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（二）快递包装印刷使用的油墨中不应添加邻苯二甲酸酯，其挥发性有机化合物（VOCs）含量应不大于5%（以重量计）；</w:t>
      </w:r>
    </w:p>
    <w:p w14:paraId="7158EE07">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（三）快递包装中使用纸基材的包装材料，纸基材中的有机氯的含量应不大于150 mg/kg；</w:t>
      </w:r>
    </w:p>
    <w:p w14:paraId="4D4C5383">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四）快递包装中使用塑料基材的包装材料不得使用邻苯二甲酸二异壬酯、邻苯二甲酸二正辛酯、邻苯二甲酸二（2－乙基）己酯、邻苯二甲酸二异癸酯、邻苯二甲酸丁基苄基酯、邻苯二甲酸二丁酯等作为增塑剂；</w:t>
      </w:r>
    </w:p>
    <w:p w14:paraId="192B06D5">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（五）快递中使用的塑料包装袋不得使用聚氯乙烯作为原料，且原料应为单一材质制成，生物分解率大于60%；</w:t>
      </w:r>
    </w:p>
    <w:p w14:paraId="723C67DE">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（六）快递中使用的充气类填充物不得使用聚氯乙烯作为原料，且原料为单一材质制成，生物分解率大于60%；</w:t>
      </w:r>
    </w:p>
    <w:p w14:paraId="10AA0E23">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（七）快递中使用的集装袋应为单一材质制成，其重复使用次数应不小于80次；</w:t>
      </w:r>
    </w:p>
    <w:p w14:paraId="3102B6D0">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（八）快递中应使用幅宽不大于45mm 的生物降解胶带；</w:t>
      </w:r>
    </w:p>
    <w:p w14:paraId="3128418F">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（九）快递包装中不得使用溶剂型胶粘剂；</w:t>
      </w:r>
    </w:p>
    <w:p w14:paraId="2A1390C8">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（十）快递应使用电子面单；</w:t>
      </w:r>
    </w:p>
    <w:p w14:paraId="22886E41">
      <w:pPr>
        <w:spacing w:line="360" w:lineRule="auto"/>
        <w:ind w:firstLine="480"/>
        <w:rPr>
          <w:rFonts w:hint="default" w:ascii="宋体" w:hAnsi="宋体" w:eastAsia="宋体" w:cs="仿宋"/>
          <w:kern w:val="0"/>
          <w:sz w:val="24"/>
          <w:szCs w:val="24"/>
        </w:rPr>
      </w:pPr>
      <w:r>
        <w:rPr>
          <w:rFonts w:hint="eastAsia" w:ascii="宋体" w:hAnsi="宋体" w:eastAsia="宋体" w:cs="仿宋"/>
          <w:kern w:val="0"/>
          <w:sz w:val="24"/>
          <w:szCs w:val="24"/>
        </w:rPr>
        <w:t>（十一）直接使用商品包装作为快递包装的商品，其商品包装满足《商品包装政府采购需求标准（试行）》即可；</w:t>
      </w:r>
    </w:p>
    <w:p w14:paraId="78A50F3B">
      <w:pPr>
        <w:spacing w:line="360" w:lineRule="auto"/>
        <w:ind w:firstLine="480"/>
        <w:rPr>
          <w:rFonts w:hint="default" w:ascii="Times New Roman" w:hAnsi="Times New Roman" w:eastAsia="宋体" w:cs="Times New Roman"/>
          <w:color w:val="FF0000"/>
          <w:kern w:val="0"/>
          <w:sz w:val="32"/>
          <w:szCs w:val="32"/>
        </w:rPr>
      </w:pPr>
      <w:r>
        <w:rPr>
          <w:rFonts w:hint="eastAsia" w:ascii="宋体" w:hAnsi="宋体" w:eastAsia="宋体" w:cs="仿宋"/>
          <w:kern w:val="0"/>
          <w:sz w:val="24"/>
          <w:szCs w:val="24"/>
        </w:rPr>
        <w:t>（十二）快递包装产品质量和封装方式应符合相关国家或行业标准技术指标要求。</w:t>
      </w:r>
    </w:p>
    <w:p w14:paraId="27821B93">
      <w:pPr>
        <w:spacing w:line="360" w:lineRule="auto"/>
        <w:ind w:firstLine="640"/>
        <w:rPr>
          <w:rFonts w:hint="eastAsia" w:ascii="宋体" w:hAnsi="宋体" w:eastAsia="宋体" w:cs="Times New Roman"/>
          <w:color w:val="auto"/>
          <w:kern w:val="0"/>
          <w:sz w:val="24"/>
          <w:szCs w:val="24"/>
          <w:highlight w:val="none"/>
        </w:rPr>
      </w:pPr>
      <w:r>
        <w:rPr>
          <w:rFonts w:hint="eastAsia" w:ascii="Times New Roman" w:hAnsi="Times New Roman" w:eastAsia="宋体" w:cs="Times New Roman"/>
          <w:color w:val="FF0000"/>
          <w:kern w:val="0"/>
          <w:sz w:val="24"/>
          <w:szCs w:val="24"/>
        </w:rPr>
        <w:t>本项目采购需求中</w:t>
      </w:r>
      <w:r>
        <w:rPr>
          <w:rFonts w:hint="eastAsia" w:ascii="宋体" w:hAnsi="宋体" w:eastAsia="宋体" w:cs="宋体"/>
          <w:b/>
          <w:color w:val="FF0000"/>
          <w:kern w:val="0"/>
          <w:sz w:val="24"/>
          <w:szCs w:val="24"/>
        </w:rPr>
        <w:t>★</w:t>
      </w:r>
      <w:r>
        <w:rPr>
          <w:rFonts w:hint="eastAsia" w:ascii="Times New Roman" w:hAnsi="Times New Roman" w:eastAsia="宋体" w:cs="Times New Roman"/>
          <w:color w:val="FF0000"/>
          <w:kern w:val="0"/>
          <w:sz w:val="24"/>
          <w:szCs w:val="24"/>
        </w:rPr>
        <w:t>项为实质性条款要求，不接受负偏离，否则按无效标处理。</w:t>
      </w:r>
    </w:p>
    <w:p w14:paraId="6AAEB0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82264"/>
    <w:rsid w:val="302F1EDF"/>
    <w:rsid w:val="54D34C2D"/>
    <w:rsid w:val="585B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15434</Words>
  <Characters>15614</Characters>
  <Lines>0</Lines>
  <Paragraphs>0</Paragraphs>
  <TotalTime>0</TotalTime>
  <ScaleCrop>false</ScaleCrop>
  <LinksUpToDate>false</LinksUpToDate>
  <CharactersWithSpaces>15647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2023-05-25T11:12:00Z</dcterms:created>
  <dc:creator>admin</dc:creator>
  <cp:lastModifiedBy>我该改个名</cp:lastModifiedBy>
  <cp:lastPrinted>2025-07-16T10:37:00Z</cp:lastPrinted>
  <dcterms:modified xsi:type="dcterms:W3CDTF">2025-07-21T01:51:17Z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AB610304FE394B76A6F8C6E08A90B75B_12</vt:lpwstr>
  </property>
  <property fmtid="{D5CDD505-2E9C-101B-9397-08002B2CF9AE}" pid="4" name="KSOTemplateDocerSaveRecord">
    <vt:lpwstr>eyJoZGlkIjoiNTQ5NzU2NGM0ODM1ZDA5YjJkNjFjYTRjNWVkYzkxMDQiLCJ1c2VySWQiOiIyNjcwODE0MjQifQ==</vt:lpwstr>
  </property>
</Properties>
</file>